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460" w:rsidRPr="00AF0220" w:rsidRDefault="00AF0220" w:rsidP="00AF0220">
      <w:pPr>
        <w:pStyle w:val="NoSpacing"/>
        <w:jc w:val="both"/>
        <w:rPr>
          <w:rFonts w:ascii="Times New Roman" w:hAnsi="Times New Roman" w:cs="Times New Roman"/>
          <w:b/>
          <w:bCs/>
        </w:rPr>
      </w:pPr>
      <w:r>
        <w:rPr>
          <w:rFonts w:ascii="Times New Roman" w:hAnsi="Times New Roman" w:cs="Times New Roman"/>
          <w:b/>
          <w:bCs/>
        </w:rPr>
        <w:t xml:space="preserve">TITLE: </w:t>
      </w:r>
      <w:r w:rsidRPr="00AF0220">
        <w:rPr>
          <w:rFonts w:ascii="Times New Roman" w:hAnsi="Times New Roman" w:cs="Times New Roman"/>
          <w:b/>
          <w:bCs/>
        </w:rPr>
        <w:t>VARIANT HEMOGLOBIN SPECTRUM BY CATION EXCHANGE HIGH PERFORMANCE LIQUID CHROMATOGRAPHY:</w:t>
      </w:r>
      <w:r w:rsidR="00BC72C4">
        <w:rPr>
          <w:rFonts w:ascii="Times New Roman" w:hAnsi="Times New Roman" w:cs="Times New Roman"/>
          <w:b/>
          <w:bCs/>
        </w:rPr>
        <w:t xml:space="preserve"> </w:t>
      </w:r>
      <w:r w:rsidR="00072CF9">
        <w:rPr>
          <w:rFonts w:ascii="Times New Roman" w:hAnsi="Times New Roman" w:cs="Times New Roman"/>
          <w:b/>
          <w:bCs/>
        </w:rPr>
        <w:t>A</w:t>
      </w:r>
      <w:r w:rsidR="00BC72C4">
        <w:rPr>
          <w:rFonts w:ascii="Times New Roman" w:hAnsi="Times New Roman" w:cs="Times New Roman"/>
          <w:b/>
          <w:bCs/>
        </w:rPr>
        <w:t xml:space="preserve"> STUDY 0F 2035 SUBJECTS</w:t>
      </w:r>
    </w:p>
    <w:p w:rsidR="00B2141E" w:rsidRPr="00AF0220" w:rsidRDefault="00B2141E" w:rsidP="00AF0220">
      <w:pPr>
        <w:pStyle w:val="NoSpacing"/>
        <w:jc w:val="both"/>
        <w:rPr>
          <w:rFonts w:ascii="Times New Roman" w:hAnsi="Times New Roman" w:cs="Times New Roman"/>
          <w:b/>
          <w:bCs/>
        </w:rPr>
      </w:pPr>
    </w:p>
    <w:p w:rsidR="00324F29" w:rsidRPr="00821079" w:rsidRDefault="00324F29" w:rsidP="00AF0220">
      <w:pPr>
        <w:pStyle w:val="NoSpacing"/>
        <w:rPr>
          <w:rFonts w:ascii="Times New Roman" w:hAnsi="Times New Roman" w:cs="Times New Roman"/>
          <w:b/>
          <w:bCs/>
        </w:rPr>
      </w:pPr>
    </w:p>
    <w:p w:rsidR="00B2141E" w:rsidRPr="00821079" w:rsidRDefault="00B2141E" w:rsidP="00324F29">
      <w:pPr>
        <w:pStyle w:val="NoSpacing"/>
        <w:jc w:val="right"/>
        <w:rPr>
          <w:rFonts w:ascii="Times New Roman" w:hAnsi="Times New Roman" w:cs="Times New Roman"/>
          <w:i/>
          <w:iCs/>
        </w:rPr>
      </w:pPr>
    </w:p>
    <w:p w:rsidR="00B2141E" w:rsidRPr="00821079" w:rsidRDefault="00B2141E" w:rsidP="000C7F52">
      <w:pPr>
        <w:pStyle w:val="NoSpacing"/>
        <w:jc w:val="both"/>
        <w:rPr>
          <w:rFonts w:ascii="Times New Roman" w:hAnsi="Times New Roman" w:cs="Times New Roman"/>
          <w:b/>
          <w:bCs/>
        </w:rPr>
      </w:pPr>
    </w:p>
    <w:p w:rsidR="00E859B3" w:rsidRPr="00821079" w:rsidRDefault="00324F29" w:rsidP="00821079">
      <w:pPr>
        <w:pStyle w:val="NoSpacing"/>
        <w:shd w:val="clear" w:color="auto" w:fill="FFFFFF" w:themeFill="background1"/>
        <w:jc w:val="center"/>
        <w:rPr>
          <w:rFonts w:ascii="Times New Roman" w:hAnsi="Times New Roman" w:cs="Times New Roman"/>
          <w:b/>
          <w:bCs/>
          <w:u w:val="single"/>
        </w:rPr>
      </w:pPr>
      <w:r w:rsidRPr="00821079">
        <w:rPr>
          <w:rFonts w:ascii="Times New Roman" w:hAnsi="Times New Roman" w:cs="Times New Roman"/>
          <w:b/>
          <w:bCs/>
          <w:u w:val="single"/>
        </w:rPr>
        <w:t>ABSTRACT</w:t>
      </w:r>
    </w:p>
    <w:p w:rsidR="00E859B3" w:rsidRPr="00821079" w:rsidRDefault="00E859B3" w:rsidP="00821079">
      <w:pPr>
        <w:pStyle w:val="NoSpacing"/>
        <w:shd w:val="clear" w:color="auto" w:fill="FFFFFF" w:themeFill="background1"/>
        <w:jc w:val="both"/>
        <w:rPr>
          <w:rFonts w:ascii="Times New Roman" w:hAnsi="Times New Roman" w:cs="Times New Roman"/>
          <w:b/>
          <w:bCs/>
        </w:rPr>
      </w:pPr>
      <w:r w:rsidRPr="00821079">
        <w:rPr>
          <w:rFonts w:ascii="Times New Roman" w:hAnsi="Times New Roman" w:cs="Times New Roman"/>
          <w:b/>
          <w:bCs/>
        </w:rPr>
        <w:t>Introduction</w:t>
      </w:r>
    </w:p>
    <w:p w:rsidR="00E859B3" w:rsidRPr="00821079" w:rsidRDefault="00E859B3" w:rsidP="00821079">
      <w:pPr>
        <w:pStyle w:val="NoSpacing"/>
        <w:shd w:val="clear" w:color="auto" w:fill="FFFFFF" w:themeFill="background1"/>
        <w:jc w:val="both"/>
        <w:rPr>
          <w:rFonts w:ascii="Times New Roman" w:hAnsi="Times New Roman" w:cs="Times New Roman"/>
        </w:rPr>
      </w:pPr>
      <w:r w:rsidRPr="00821079">
        <w:rPr>
          <w:rFonts w:ascii="Times New Roman" w:hAnsi="Times New Roman" w:cs="Times New Roman"/>
        </w:rPr>
        <w:t xml:space="preserve">Hemoglobinopathies and thalassemia are hereditary disorders of </w:t>
      </w:r>
      <w:r w:rsidR="001F41DA" w:rsidRPr="00821079">
        <w:rPr>
          <w:rFonts w:ascii="Times New Roman" w:hAnsi="Times New Roman" w:cs="Times New Roman"/>
        </w:rPr>
        <w:t>hemoglobin (</w:t>
      </w:r>
      <w:r w:rsidR="001E1460" w:rsidRPr="00821079">
        <w:rPr>
          <w:rFonts w:ascii="Times New Roman" w:hAnsi="Times New Roman" w:cs="Times New Roman"/>
        </w:rPr>
        <w:t>Hb)</w:t>
      </w:r>
      <w:r w:rsidRPr="00821079">
        <w:rPr>
          <w:rFonts w:ascii="Times New Roman" w:hAnsi="Times New Roman" w:cs="Times New Roman"/>
        </w:rPr>
        <w:t xml:space="preserve"> affecting mankind </w:t>
      </w:r>
      <w:r w:rsidR="001E1460" w:rsidRPr="00821079">
        <w:rPr>
          <w:rFonts w:ascii="Times New Roman" w:hAnsi="Times New Roman" w:cs="Times New Roman"/>
        </w:rPr>
        <w:t>at prevalent</w:t>
      </w:r>
      <w:r w:rsidRPr="00821079">
        <w:rPr>
          <w:rFonts w:ascii="Times New Roman" w:hAnsi="Times New Roman" w:cs="Times New Roman"/>
        </w:rPr>
        <w:t xml:space="preserve"> regional level. Automated cation exchange high performance liquid chromatography is being increasingly used as the initial diagnostic method for identifying normal and abnormal hemoglobin</w:t>
      </w:r>
      <w:r w:rsidR="001E1460" w:rsidRPr="00821079">
        <w:rPr>
          <w:rFonts w:ascii="Times New Roman" w:hAnsi="Times New Roman" w:cs="Times New Roman"/>
        </w:rPr>
        <w:t xml:space="preserve"> variants</w:t>
      </w:r>
      <w:r w:rsidRPr="00821079">
        <w:rPr>
          <w:rFonts w:ascii="Times New Roman" w:hAnsi="Times New Roman" w:cs="Times New Roman"/>
        </w:rPr>
        <w:t>.</w:t>
      </w:r>
    </w:p>
    <w:p w:rsidR="00E859B3" w:rsidRPr="00821079" w:rsidRDefault="00324F29" w:rsidP="00821079">
      <w:pPr>
        <w:pStyle w:val="NoSpacing"/>
        <w:shd w:val="clear" w:color="auto" w:fill="FFFFFF" w:themeFill="background1"/>
        <w:jc w:val="both"/>
        <w:rPr>
          <w:rFonts w:ascii="Times New Roman" w:hAnsi="Times New Roman" w:cs="Times New Roman"/>
          <w:b/>
          <w:bCs/>
        </w:rPr>
      </w:pPr>
      <w:r w:rsidRPr="00821079">
        <w:rPr>
          <w:rFonts w:ascii="Times New Roman" w:hAnsi="Times New Roman" w:cs="Times New Roman"/>
          <w:b/>
          <w:bCs/>
        </w:rPr>
        <w:t>Methodology</w:t>
      </w:r>
    </w:p>
    <w:p w:rsidR="00E859B3" w:rsidRPr="00821079" w:rsidRDefault="00E859B3" w:rsidP="00821079">
      <w:pPr>
        <w:pStyle w:val="NoSpacing"/>
        <w:shd w:val="clear" w:color="auto" w:fill="FFFFFF" w:themeFill="background1"/>
        <w:jc w:val="both"/>
        <w:rPr>
          <w:rFonts w:ascii="Times New Roman" w:hAnsi="Times New Roman" w:cs="Times New Roman"/>
        </w:rPr>
      </w:pPr>
      <w:r w:rsidRPr="00821079">
        <w:rPr>
          <w:rFonts w:ascii="Times New Roman" w:eastAsia="ArrusBT-Roman" w:hAnsi="Times New Roman" w:cs="Times New Roman"/>
        </w:rPr>
        <w:t>Total 2035 sample received and studied.</w:t>
      </w:r>
      <w:r w:rsidR="005F5BBE" w:rsidRPr="00821079">
        <w:rPr>
          <w:rFonts w:ascii="Times New Roman" w:hAnsi="Times New Roman" w:cs="Times New Roman"/>
        </w:rPr>
        <w:t xml:space="preserve"> All samples run on cation exchange high performance liquid chromatography machine by BIO-RAD.</w:t>
      </w:r>
    </w:p>
    <w:p w:rsidR="005F5BBE" w:rsidRPr="00821079" w:rsidRDefault="005F5BBE" w:rsidP="00821079">
      <w:pPr>
        <w:shd w:val="clear" w:color="auto" w:fill="FFFFFF" w:themeFill="background1"/>
        <w:autoSpaceDE w:val="0"/>
        <w:autoSpaceDN w:val="0"/>
        <w:adjustRightInd w:val="0"/>
        <w:spacing w:after="0" w:line="240" w:lineRule="auto"/>
        <w:jc w:val="both"/>
        <w:rPr>
          <w:rFonts w:ascii="Times New Roman" w:eastAsia="ArrusBT-Roman" w:hAnsi="Times New Roman" w:cs="Times New Roman"/>
          <w:b/>
          <w:bCs/>
          <w:noProof/>
        </w:rPr>
      </w:pPr>
      <w:r w:rsidRPr="00821079">
        <w:rPr>
          <w:rFonts w:ascii="Times New Roman" w:eastAsia="ArrusBT-Roman" w:hAnsi="Times New Roman" w:cs="Times New Roman"/>
          <w:b/>
          <w:bCs/>
          <w:noProof/>
        </w:rPr>
        <w:t xml:space="preserve">Results: </w:t>
      </w:r>
    </w:p>
    <w:p w:rsidR="005F5BBE" w:rsidRPr="00821079" w:rsidRDefault="005F5BBE" w:rsidP="00821079">
      <w:pPr>
        <w:pStyle w:val="NoSpacing"/>
        <w:shd w:val="clear" w:color="auto" w:fill="FFFFFF" w:themeFill="background1"/>
        <w:jc w:val="both"/>
        <w:rPr>
          <w:rFonts w:ascii="Times New Roman" w:hAnsi="Times New Roman" w:cs="Times New Roman"/>
        </w:rPr>
      </w:pPr>
      <w:r w:rsidRPr="00821079">
        <w:rPr>
          <w:rFonts w:ascii="Times New Roman" w:eastAsia="ArrusBT-Roman" w:hAnsi="Times New Roman" w:cs="Times New Roman"/>
        </w:rPr>
        <w:t xml:space="preserve">Total 386(18.96%) cases had abnormal hemoglobin fractions. </w:t>
      </w:r>
      <w:r w:rsidR="001E1460" w:rsidRPr="00821079">
        <w:rPr>
          <w:rFonts w:ascii="Times New Roman" w:eastAsia="ArrusBT-Roman" w:hAnsi="Times New Roman" w:cs="Times New Roman"/>
        </w:rPr>
        <w:t>Beta tha</w:t>
      </w:r>
      <w:r w:rsidRPr="00821079">
        <w:rPr>
          <w:rFonts w:ascii="Times New Roman" w:eastAsia="ArrusBT-Roman" w:hAnsi="Times New Roman" w:cs="Times New Roman"/>
        </w:rPr>
        <w:t>las</w:t>
      </w:r>
      <w:r w:rsidR="001E1460" w:rsidRPr="00821079">
        <w:rPr>
          <w:rFonts w:ascii="Times New Roman" w:eastAsia="ArrusBT-Roman" w:hAnsi="Times New Roman" w:cs="Times New Roman"/>
        </w:rPr>
        <w:t>s</w:t>
      </w:r>
      <w:r w:rsidRPr="00821079">
        <w:rPr>
          <w:rFonts w:ascii="Times New Roman" w:eastAsia="ArrusBT-Roman" w:hAnsi="Times New Roman" w:cs="Times New Roman"/>
        </w:rPr>
        <w:t>emia major cases were 17(0.83%)</w:t>
      </w:r>
      <w:r w:rsidR="001E1460" w:rsidRPr="00821079">
        <w:rPr>
          <w:rFonts w:ascii="Times New Roman" w:eastAsia="ArrusBT-Roman" w:hAnsi="Times New Roman" w:cs="Times New Roman"/>
        </w:rPr>
        <w:t>. Beta thala</w:t>
      </w:r>
      <w:r w:rsidRPr="00821079">
        <w:rPr>
          <w:rFonts w:ascii="Times New Roman" w:eastAsia="ArrusBT-Roman" w:hAnsi="Times New Roman" w:cs="Times New Roman"/>
        </w:rPr>
        <w:t>s</w:t>
      </w:r>
      <w:r w:rsidR="001E1460" w:rsidRPr="00821079">
        <w:rPr>
          <w:rFonts w:ascii="Times New Roman" w:eastAsia="ArrusBT-Roman" w:hAnsi="Times New Roman" w:cs="Times New Roman"/>
        </w:rPr>
        <w:t>s</w:t>
      </w:r>
      <w:r w:rsidRPr="00821079">
        <w:rPr>
          <w:rFonts w:ascii="Times New Roman" w:eastAsia="ArrusBT-Roman" w:hAnsi="Times New Roman" w:cs="Times New Roman"/>
        </w:rPr>
        <w:t xml:space="preserve">emia intermedia cases were 4(0.19%). Sickle cell trait (heterozygous Hb S) cases were 96(4.71%). Double heterozygous for sickle cell-beta thalassemia cases were 14(0.68%). There were 06 </w:t>
      </w:r>
      <w:r w:rsidR="00AF76E2" w:rsidRPr="00821079">
        <w:rPr>
          <w:rFonts w:ascii="Times New Roman" w:eastAsia="ArrusBT-Roman" w:hAnsi="Times New Roman" w:cs="Times New Roman"/>
        </w:rPr>
        <w:t>cases (</w:t>
      </w:r>
      <w:r w:rsidRPr="00821079">
        <w:rPr>
          <w:rFonts w:ascii="Times New Roman" w:eastAsia="ArrusBT-Roman" w:hAnsi="Times New Roman" w:cs="Times New Roman"/>
        </w:rPr>
        <w:t xml:space="preserve">0.29%) of Hb D heterozygous. There were one each case of Hb E heterozygous and Hb E-beta </w:t>
      </w:r>
      <w:r w:rsidR="001E1460" w:rsidRPr="00821079">
        <w:rPr>
          <w:rFonts w:ascii="Times New Roman" w:eastAsia="ArrusBT-Roman" w:hAnsi="Times New Roman" w:cs="Times New Roman"/>
        </w:rPr>
        <w:t>thalassemia (</w:t>
      </w:r>
      <w:r w:rsidRPr="00821079">
        <w:rPr>
          <w:rFonts w:ascii="Times New Roman" w:eastAsia="ArrusBT-Roman" w:hAnsi="Times New Roman" w:cs="Times New Roman"/>
        </w:rPr>
        <w:t xml:space="preserve">0.04% each). Hb F was raised in 7 adult </w:t>
      </w:r>
      <w:r w:rsidR="001E1460" w:rsidRPr="00821079">
        <w:rPr>
          <w:rFonts w:ascii="Times New Roman" w:eastAsia="ArrusBT-Roman" w:hAnsi="Times New Roman" w:cs="Times New Roman"/>
        </w:rPr>
        <w:t>cases (</w:t>
      </w:r>
      <w:r w:rsidRPr="00821079">
        <w:rPr>
          <w:rFonts w:ascii="Times New Roman" w:eastAsia="ArrusBT-Roman" w:hAnsi="Times New Roman" w:cs="Times New Roman"/>
        </w:rPr>
        <w:t>0.34%).</w:t>
      </w:r>
    </w:p>
    <w:p w:rsidR="005F5BBE" w:rsidRPr="00821079" w:rsidRDefault="005F5BBE" w:rsidP="00821079">
      <w:pPr>
        <w:shd w:val="clear" w:color="auto" w:fill="FFFFFF" w:themeFill="background1"/>
        <w:autoSpaceDE w:val="0"/>
        <w:autoSpaceDN w:val="0"/>
        <w:adjustRightInd w:val="0"/>
        <w:spacing w:after="0" w:line="240" w:lineRule="auto"/>
        <w:rPr>
          <w:rFonts w:ascii="Times New Roman" w:eastAsia="ArrusBT-Roman" w:hAnsi="Times New Roman" w:cs="Times New Roman"/>
          <w:b/>
          <w:bCs/>
        </w:rPr>
      </w:pPr>
      <w:r w:rsidRPr="00821079">
        <w:rPr>
          <w:rFonts w:ascii="Times New Roman" w:eastAsia="ArrusBT-Roman" w:hAnsi="Times New Roman" w:cs="Times New Roman"/>
          <w:b/>
          <w:bCs/>
        </w:rPr>
        <w:t>Discussion:</w:t>
      </w:r>
    </w:p>
    <w:p w:rsidR="005F5BBE" w:rsidRPr="00821079" w:rsidRDefault="001E1460" w:rsidP="00821079">
      <w:pPr>
        <w:shd w:val="clear" w:color="auto" w:fill="FFFFFF" w:themeFill="background1"/>
        <w:autoSpaceDE w:val="0"/>
        <w:autoSpaceDN w:val="0"/>
        <w:adjustRightInd w:val="0"/>
        <w:spacing w:after="0" w:line="240" w:lineRule="auto"/>
        <w:jc w:val="both"/>
        <w:rPr>
          <w:rFonts w:ascii="Times New Roman" w:eastAsia="ArrusBT-Roman" w:hAnsi="Times New Roman" w:cs="Times New Roman"/>
        </w:rPr>
      </w:pPr>
      <w:r w:rsidRPr="00821079">
        <w:rPr>
          <w:rFonts w:ascii="Times New Roman" w:eastAsia="ArrusBT-Roman" w:hAnsi="Times New Roman" w:cs="Times New Roman"/>
        </w:rPr>
        <w:t>T</w:t>
      </w:r>
      <w:r w:rsidR="005F5BBE" w:rsidRPr="00821079">
        <w:rPr>
          <w:rFonts w:ascii="Times New Roman" w:eastAsia="ArrusBT-Roman" w:hAnsi="Times New Roman" w:cs="Times New Roman"/>
        </w:rPr>
        <w:t xml:space="preserve">halassemias and hemoglobinopathies are very common causes of morbidity and also exert burden on expenditure. So far, some of the common investigations done for thalassemia and hemoglobinopathies are Hb electrophoresis by </w:t>
      </w:r>
      <w:r w:rsidR="005F5BBE" w:rsidRPr="00821079">
        <w:rPr>
          <w:rFonts w:ascii="Times New Roman" w:hAnsi="Times New Roman" w:cs="Times New Roman"/>
        </w:rPr>
        <w:t>cellulose acetate at alkaline pH, acid electrophoresis, Hb F quantification by alkali denaturation and Hb A2 quantification by chromatography.</w:t>
      </w:r>
      <w:r w:rsidR="005F5BBE" w:rsidRPr="00821079">
        <w:rPr>
          <w:rFonts w:ascii="Times New Roman" w:eastAsia="ArrusBT-Roman" w:hAnsi="Times New Roman" w:cs="Times New Roman"/>
        </w:rPr>
        <w:t xml:space="preserve"> These all methods have certain limitations</w:t>
      </w:r>
      <w:r w:rsidR="00AF76E2" w:rsidRPr="00821079">
        <w:rPr>
          <w:rFonts w:ascii="Times New Roman" w:eastAsia="ArrusBT-Roman" w:hAnsi="Times New Roman" w:cs="Times New Roman"/>
        </w:rPr>
        <w:t>.</w:t>
      </w:r>
    </w:p>
    <w:p w:rsidR="0096506D" w:rsidRPr="00821079" w:rsidRDefault="0096506D" w:rsidP="00821079">
      <w:pPr>
        <w:shd w:val="clear" w:color="auto" w:fill="FFFFFF" w:themeFill="background1"/>
        <w:autoSpaceDE w:val="0"/>
        <w:autoSpaceDN w:val="0"/>
        <w:adjustRightInd w:val="0"/>
        <w:spacing w:after="0" w:line="240" w:lineRule="auto"/>
        <w:jc w:val="both"/>
        <w:rPr>
          <w:rFonts w:ascii="Times New Roman" w:eastAsia="ArrusBT-Roman" w:hAnsi="Times New Roman" w:cs="Times New Roman"/>
          <w:b/>
          <w:bCs/>
        </w:rPr>
      </w:pPr>
      <w:r w:rsidRPr="00821079">
        <w:rPr>
          <w:rFonts w:ascii="Times New Roman" w:eastAsia="ArrusBT-Roman" w:hAnsi="Times New Roman" w:cs="Times New Roman"/>
          <w:b/>
          <w:bCs/>
        </w:rPr>
        <w:t>Conclusion:</w:t>
      </w:r>
    </w:p>
    <w:p w:rsidR="0096506D" w:rsidRPr="00821079" w:rsidRDefault="0096506D" w:rsidP="00821079">
      <w:pPr>
        <w:shd w:val="clear" w:color="auto" w:fill="FFFFFF" w:themeFill="background1"/>
        <w:autoSpaceDE w:val="0"/>
        <w:autoSpaceDN w:val="0"/>
        <w:adjustRightInd w:val="0"/>
        <w:spacing w:after="0" w:line="240" w:lineRule="auto"/>
        <w:jc w:val="both"/>
        <w:rPr>
          <w:rFonts w:ascii="Times New Roman" w:eastAsia="ArrusBT-Roman" w:hAnsi="Times New Roman" w:cs="Times New Roman"/>
        </w:rPr>
      </w:pPr>
      <w:r w:rsidRPr="00821079">
        <w:rPr>
          <w:rFonts w:ascii="Times New Roman" w:eastAsia="ArrusBT-Roman" w:hAnsi="Times New Roman" w:cs="Times New Roman"/>
        </w:rPr>
        <w:t xml:space="preserve">To conclude, cation exchange high performance liquid chromatography is less time consuming, cost effective, </w:t>
      </w:r>
      <w:r w:rsidR="00AF76E2" w:rsidRPr="00821079">
        <w:rPr>
          <w:rFonts w:ascii="Times New Roman" w:eastAsia="ArrusBT-Roman" w:hAnsi="Times New Roman" w:cs="Times New Roman"/>
        </w:rPr>
        <w:t>labor</w:t>
      </w:r>
      <w:r w:rsidRPr="00821079">
        <w:rPr>
          <w:rFonts w:ascii="Times New Roman" w:eastAsia="ArrusBT-Roman" w:hAnsi="Times New Roman" w:cs="Times New Roman"/>
        </w:rPr>
        <w:t xml:space="preserve"> saving, reproducible, accurate, sensitive and specific method to detect </w:t>
      </w:r>
      <w:r w:rsidR="00AF76E2" w:rsidRPr="00821079">
        <w:rPr>
          <w:rFonts w:ascii="Times New Roman" w:eastAsia="ArrusBT-Roman" w:hAnsi="Times New Roman" w:cs="Times New Roman"/>
        </w:rPr>
        <w:t>hemoglobinopathies and thal</w:t>
      </w:r>
      <w:r w:rsidRPr="00821079">
        <w:rPr>
          <w:rFonts w:ascii="Times New Roman" w:eastAsia="ArrusBT-Roman" w:hAnsi="Times New Roman" w:cs="Times New Roman"/>
        </w:rPr>
        <w:t>a</w:t>
      </w:r>
      <w:r w:rsidR="00AF76E2" w:rsidRPr="00821079">
        <w:rPr>
          <w:rFonts w:ascii="Times New Roman" w:eastAsia="ArrusBT-Roman" w:hAnsi="Times New Roman" w:cs="Times New Roman"/>
        </w:rPr>
        <w:t>s</w:t>
      </w:r>
      <w:r w:rsidRPr="00821079">
        <w:rPr>
          <w:rFonts w:ascii="Times New Roman" w:eastAsia="ArrusBT-Roman" w:hAnsi="Times New Roman" w:cs="Times New Roman"/>
        </w:rPr>
        <w:t xml:space="preserve">semia. Most of the abnormal cases are diagnosed with this method, with few inconclusive cases require </w:t>
      </w:r>
      <w:r w:rsidR="00AF76E2" w:rsidRPr="00821079">
        <w:rPr>
          <w:rFonts w:ascii="Times New Roman" w:eastAsia="ArrusBT-Roman" w:hAnsi="Times New Roman" w:cs="Times New Roman"/>
        </w:rPr>
        <w:t>further genetic and molecular workup</w:t>
      </w:r>
      <w:r w:rsidRPr="00821079">
        <w:rPr>
          <w:rFonts w:ascii="Times New Roman" w:eastAsia="ArrusBT-Roman" w:hAnsi="Times New Roman" w:cs="Times New Roman"/>
        </w:rPr>
        <w:t>.</w:t>
      </w:r>
    </w:p>
    <w:p w:rsidR="00E859B3" w:rsidRPr="00821079" w:rsidRDefault="00E859B3" w:rsidP="000C7F52">
      <w:pPr>
        <w:pStyle w:val="NoSpacing"/>
        <w:jc w:val="both"/>
        <w:rPr>
          <w:rFonts w:ascii="Times New Roman" w:hAnsi="Times New Roman" w:cs="Times New Roman"/>
          <w:b/>
          <w:bCs/>
        </w:rPr>
      </w:pPr>
    </w:p>
    <w:p w:rsidR="00821079" w:rsidRPr="00821079" w:rsidRDefault="00821079" w:rsidP="00821079">
      <w:pPr>
        <w:pStyle w:val="Body"/>
        <w:spacing w:after="0"/>
        <w:jc w:val="center"/>
        <w:rPr>
          <w:rFonts w:ascii="Times New Roman" w:hAnsi="Times New Roman"/>
          <w:b/>
          <w:bCs/>
          <w:iCs/>
          <w:sz w:val="22"/>
          <w:szCs w:val="22"/>
        </w:rPr>
      </w:pPr>
      <w:r>
        <w:rPr>
          <w:rFonts w:ascii="Times New Roman" w:hAnsi="Times New Roman"/>
          <w:b/>
          <w:bCs/>
          <w:iCs/>
          <w:sz w:val="22"/>
          <w:szCs w:val="22"/>
        </w:rPr>
        <w:t>Keywords</w:t>
      </w:r>
    </w:p>
    <w:p w:rsidR="00DC7E40" w:rsidRPr="00821079" w:rsidRDefault="00DC7E40" w:rsidP="00DC7E40">
      <w:pPr>
        <w:pStyle w:val="Body"/>
        <w:spacing w:after="0"/>
        <w:rPr>
          <w:rFonts w:ascii="Times New Roman" w:hAnsi="Times New Roman"/>
          <w:iCs/>
          <w:sz w:val="22"/>
          <w:szCs w:val="22"/>
        </w:rPr>
      </w:pPr>
      <w:r w:rsidRPr="00821079">
        <w:rPr>
          <w:rFonts w:ascii="Times New Roman" w:hAnsi="Times New Roman"/>
          <w:iCs/>
          <w:sz w:val="22"/>
          <w:szCs w:val="22"/>
        </w:rPr>
        <w:t>Hae</w:t>
      </w:r>
      <w:r w:rsidR="00821079">
        <w:rPr>
          <w:rFonts w:ascii="Times New Roman" w:hAnsi="Times New Roman"/>
          <w:iCs/>
          <w:sz w:val="22"/>
          <w:szCs w:val="22"/>
        </w:rPr>
        <w:t>moglobinopathies, Thalassemia, C</w:t>
      </w:r>
      <w:r w:rsidRPr="00821079">
        <w:rPr>
          <w:rFonts w:ascii="Times New Roman" w:hAnsi="Times New Roman"/>
          <w:iCs/>
          <w:sz w:val="22"/>
          <w:szCs w:val="22"/>
        </w:rPr>
        <w:t>ation exchange high perf</w:t>
      </w:r>
      <w:r w:rsidR="00821079">
        <w:rPr>
          <w:rFonts w:ascii="Times New Roman" w:hAnsi="Times New Roman"/>
          <w:iCs/>
          <w:sz w:val="22"/>
          <w:szCs w:val="22"/>
        </w:rPr>
        <w:t>ormance liquid chromatography, S</w:t>
      </w:r>
      <w:r w:rsidRPr="00821079">
        <w:rPr>
          <w:rFonts w:ascii="Times New Roman" w:hAnsi="Times New Roman"/>
          <w:iCs/>
          <w:sz w:val="22"/>
          <w:szCs w:val="22"/>
        </w:rPr>
        <w:t>creening</w:t>
      </w:r>
    </w:p>
    <w:p w:rsidR="00DC7E40" w:rsidRPr="00821079" w:rsidRDefault="00DC7E40" w:rsidP="000C7F52">
      <w:pPr>
        <w:pStyle w:val="NoSpacing"/>
        <w:jc w:val="both"/>
        <w:rPr>
          <w:rFonts w:ascii="Times New Roman" w:hAnsi="Times New Roman" w:cs="Times New Roman"/>
          <w:b/>
          <w:bCs/>
          <w:iCs/>
        </w:rPr>
      </w:pPr>
    </w:p>
    <w:p w:rsidR="00F30B3A" w:rsidRPr="00821079" w:rsidRDefault="00DC7E40" w:rsidP="00DC7E40">
      <w:pPr>
        <w:pStyle w:val="NoSpacing"/>
        <w:rPr>
          <w:rFonts w:ascii="Times New Roman" w:hAnsi="Times New Roman" w:cs="Times New Roman"/>
          <w:b/>
          <w:bCs/>
        </w:rPr>
      </w:pPr>
      <w:r w:rsidRPr="00821079">
        <w:rPr>
          <w:rFonts w:ascii="Times New Roman" w:hAnsi="Times New Roman" w:cs="Times New Roman"/>
          <w:b/>
          <w:bCs/>
        </w:rPr>
        <w:t>INTRODUCTION</w:t>
      </w:r>
    </w:p>
    <w:p w:rsidR="00AF76E2" w:rsidRPr="00821079" w:rsidRDefault="00AF76E2" w:rsidP="005B3342">
      <w:pPr>
        <w:autoSpaceDE w:val="0"/>
        <w:autoSpaceDN w:val="0"/>
        <w:adjustRightInd w:val="0"/>
        <w:spacing w:after="0" w:line="240" w:lineRule="auto"/>
        <w:jc w:val="both"/>
        <w:rPr>
          <w:rFonts w:ascii="Times New Roman" w:hAnsi="Times New Roman" w:cs="Times New Roman"/>
        </w:rPr>
      </w:pPr>
    </w:p>
    <w:p w:rsidR="000D7FE0" w:rsidRPr="00821079" w:rsidRDefault="00AF76E2" w:rsidP="00821079">
      <w:pPr>
        <w:autoSpaceDE w:val="0"/>
        <w:autoSpaceDN w:val="0"/>
        <w:adjustRightInd w:val="0"/>
        <w:spacing w:after="0" w:line="240" w:lineRule="auto"/>
        <w:ind w:firstLine="720"/>
        <w:jc w:val="both"/>
        <w:rPr>
          <w:rFonts w:ascii="Times New Roman" w:hAnsi="Times New Roman" w:cs="Times New Roman"/>
        </w:rPr>
      </w:pPr>
      <w:r w:rsidRPr="00821079">
        <w:rPr>
          <w:rFonts w:ascii="Times New Roman" w:hAnsi="Times New Roman" w:cs="Times New Roman"/>
        </w:rPr>
        <w:t>Hemoglobin (</w:t>
      </w:r>
      <w:r w:rsidR="00906422" w:rsidRPr="00821079">
        <w:rPr>
          <w:rFonts w:ascii="Times New Roman" w:hAnsi="Times New Roman" w:cs="Times New Roman"/>
        </w:rPr>
        <w:t>Hb)</w:t>
      </w:r>
      <w:r w:rsidR="000D7FE0" w:rsidRPr="00821079">
        <w:rPr>
          <w:rFonts w:ascii="Times New Roman" w:hAnsi="Times New Roman" w:cs="Times New Roman"/>
        </w:rPr>
        <w:t xml:space="preserve"> is a conjugated protein of molecular weight 64,000. </w:t>
      </w:r>
      <w:r w:rsidR="00A758F7" w:rsidRPr="00821079">
        <w:rPr>
          <w:rFonts w:ascii="Times New Roman" w:hAnsi="Times New Roman" w:cs="Times New Roman"/>
        </w:rPr>
        <w:t>Haem group is attached to two pairs of polypeptide globin chains.</w:t>
      </w:r>
      <w:r w:rsidR="000C7F52" w:rsidRPr="00821079">
        <w:rPr>
          <w:rFonts w:ascii="Times New Roman" w:hAnsi="Times New Roman" w:cs="Times New Roman"/>
        </w:rPr>
        <w:t xml:space="preserve"> Haem group binding with each of </w:t>
      </w:r>
      <w:r w:rsidRPr="00821079">
        <w:rPr>
          <w:rFonts w:ascii="Times New Roman" w:hAnsi="Times New Roman" w:cs="Times New Roman"/>
        </w:rPr>
        <w:t>these chains</w:t>
      </w:r>
      <w:r w:rsidR="000C7F52" w:rsidRPr="00821079">
        <w:rPr>
          <w:rFonts w:ascii="Times New Roman" w:hAnsi="Times New Roman" w:cs="Times New Roman"/>
        </w:rPr>
        <w:t xml:space="preserve"> is important for oxygen carrying capacity of hemoglobin and also it stabilizes the hemoglobin molecule. There are also many naturally occurring variants of hemoglobin (more than 1000) which are genetically determined, most are harmless and some of them have serious clinical consequences</w:t>
      </w:r>
      <w:r w:rsidR="00C627B4">
        <w:rPr>
          <w:rFonts w:ascii="Times New Roman" w:hAnsi="Times New Roman" w:cs="Times New Roman"/>
        </w:rPr>
        <w:t xml:space="preserve"> </w:t>
      </w:r>
      <w:r w:rsidR="005C33FB" w:rsidRPr="00C627B4">
        <w:rPr>
          <w:rFonts w:ascii="Times New Roman" w:hAnsi="Times New Roman" w:cs="Times New Roman"/>
          <w:vertAlign w:val="superscript"/>
        </w:rPr>
        <w:t>[1]</w:t>
      </w:r>
      <w:r w:rsidR="000C7F52" w:rsidRPr="00821079">
        <w:rPr>
          <w:rFonts w:ascii="Times New Roman" w:hAnsi="Times New Roman" w:cs="Times New Roman"/>
        </w:rPr>
        <w:t>.</w:t>
      </w:r>
      <w:r w:rsidR="00A76127" w:rsidRPr="00821079">
        <w:rPr>
          <w:rFonts w:ascii="Times New Roman" w:hAnsi="Times New Roman" w:cs="Times New Roman"/>
          <w:vertAlign w:val="superscript"/>
        </w:rPr>
        <w:t xml:space="preserve"> </w:t>
      </w:r>
      <w:r w:rsidR="00906422" w:rsidRPr="00821079">
        <w:rPr>
          <w:rFonts w:ascii="Times New Roman" w:hAnsi="Times New Roman" w:cs="Times New Roman"/>
        </w:rPr>
        <w:t>Hereditary disorders of hemoglobin result either from qualitative defect</w:t>
      </w:r>
      <w:r w:rsidR="00C627B4">
        <w:rPr>
          <w:rFonts w:ascii="Times New Roman" w:hAnsi="Times New Roman" w:cs="Times New Roman"/>
        </w:rPr>
        <w:t xml:space="preserve"> </w:t>
      </w:r>
      <w:r w:rsidR="00906422" w:rsidRPr="00821079">
        <w:rPr>
          <w:rFonts w:ascii="Times New Roman" w:hAnsi="Times New Roman" w:cs="Times New Roman"/>
        </w:rPr>
        <w:t>(structural alteration of a globin polypeptide chain) or quantitative defect(reduced synthesis of globin polypeptide chain). Examples of qualitative defects are Hb</w:t>
      </w:r>
      <w:r w:rsidRPr="00821079">
        <w:rPr>
          <w:rFonts w:ascii="Times New Roman" w:hAnsi="Times New Roman" w:cs="Times New Roman"/>
        </w:rPr>
        <w:t xml:space="preserve"> </w:t>
      </w:r>
      <w:r w:rsidR="00906422" w:rsidRPr="00821079">
        <w:rPr>
          <w:rFonts w:ascii="Times New Roman" w:hAnsi="Times New Roman" w:cs="Times New Roman"/>
        </w:rPr>
        <w:t>S, Hb</w:t>
      </w:r>
      <w:r w:rsidRPr="00821079">
        <w:rPr>
          <w:rFonts w:ascii="Times New Roman" w:hAnsi="Times New Roman" w:cs="Times New Roman"/>
        </w:rPr>
        <w:t xml:space="preserve"> D</w:t>
      </w:r>
      <w:r w:rsidR="00906422" w:rsidRPr="00821079">
        <w:rPr>
          <w:rFonts w:ascii="Times New Roman" w:hAnsi="Times New Roman" w:cs="Times New Roman"/>
        </w:rPr>
        <w:t xml:space="preserve"> </w:t>
      </w:r>
      <w:r w:rsidRPr="00821079">
        <w:rPr>
          <w:rFonts w:ascii="Times New Roman" w:hAnsi="Times New Roman" w:cs="Times New Roman"/>
        </w:rPr>
        <w:t xml:space="preserve">and Hb </w:t>
      </w:r>
      <w:r w:rsidR="00906422" w:rsidRPr="00821079">
        <w:rPr>
          <w:rFonts w:ascii="Times New Roman" w:hAnsi="Times New Roman" w:cs="Times New Roman"/>
        </w:rPr>
        <w:t xml:space="preserve">E etc. Examples of quantitative </w:t>
      </w:r>
      <w:r w:rsidRPr="00821079">
        <w:rPr>
          <w:rFonts w:ascii="Times New Roman" w:hAnsi="Times New Roman" w:cs="Times New Roman"/>
        </w:rPr>
        <w:t>defects are alpha and beta thalassemia</w:t>
      </w:r>
      <w:r w:rsidR="00906422" w:rsidRPr="00821079">
        <w:rPr>
          <w:rFonts w:ascii="Times New Roman" w:hAnsi="Times New Roman" w:cs="Times New Roman"/>
        </w:rPr>
        <w:t xml:space="preserve">. </w:t>
      </w:r>
      <w:r w:rsidR="00A76127" w:rsidRPr="00821079">
        <w:rPr>
          <w:rFonts w:ascii="Times New Roman" w:hAnsi="Times New Roman" w:cs="Times New Roman"/>
        </w:rPr>
        <w:t>Major causes of morbidity of all these are homozygous beta</w:t>
      </w:r>
      <w:r w:rsidRPr="00821079">
        <w:rPr>
          <w:rFonts w:ascii="Times New Roman" w:hAnsi="Times New Roman" w:cs="Times New Roman"/>
        </w:rPr>
        <w:t xml:space="preserve"> thalas</w:t>
      </w:r>
      <w:r w:rsidR="005C33FB" w:rsidRPr="00821079">
        <w:rPr>
          <w:rFonts w:ascii="Times New Roman" w:hAnsi="Times New Roman" w:cs="Times New Roman"/>
        </w:rPr>
        <w:t>semia and some alpha thalas</w:t>
      </w:r>
      <w:r w:rsidR="00A76127" w:rsidRPr="00821079">
        <w:rPr>
          <w:rFonts w:ascii="Times New Roman" w:hAnsi="Times New Roman" w:cs="Times New Roman"/>
        </w:rPr>
        <w:t>semia</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[2]</w:t>
      </w:r>
      <w:r w:rsidR="005C33FB" w:rsidRPr="00821079">
        <w:rPr>
          <w:rFonts w:ascii="Times New Roman" w:hAnsi="Times New Roman" w:cs="Times New Roman"/>
        </w:rPr>
        <w:t xml:space="preserve">. </w:t>
      </w:r>
      <w:r w:rsidR="00E859B3" w:rsidRPr="00821079">
        <w:rPr>
          <w:rFonts w:ascii="Times New Roman" w:hAnsi="Times New Roman" w:cs="Times New Roman"/>
        </w:rPr>
        <w:t>5</w:t>
      </w:r>
      <w:r w:rsidR="00A76127" w:rsidRPr="00821079">
        <w:rPr>
          <w:rFonts w:ascii="Times New Roman" w:hAnsi="Times New Roman" w:cs="Times New Roman"/>
        </w:rPr>
        <w:t xml:space="preserve">% </w:t>
      </w:r>
      <w:r w:rsidRPr="00821079">
        <w:rPr>
          <w:rFonts w:ascii="Times New Roman" w:hAnsi="Times New Roman" w:cs="Times New Roman"/>
        </w:rPr>
        <w:t xml:space="preserve">of </w:t>
      </w:r>
      <w:r w:rsidR="00A76127" w:rsidRPr="00821079">
        <w:rPr>
          <w:rFonts w:ascii="Times New Roman" w:hAnsi="Times New Roman" w:cs="Times New Roman"/>
        </w:rPr>
        <w:t>world population is a carrier for hemoglobin disorders as per world health organization report</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[3]</w:t>
      </w:r>
      <w:r w:rsidR="005C33FB" w:rsidRPr="00821079">
        <w:rPr>
          <w:rFonts w:ascii="Times New Roman" w:hAnsi="Times New Roman" w:cs="Times New Roman"/>
        </w:rPr>
        <w:t>.</w:t>
      </w:r>
      <w:r w:rsidR="0099753C" w:rsidRPr="00821079">
        <w:rPr>
          <w:rFonts w:ascii="Times New Roman" w:hAnsi="Times New Roman" w:cs="Times New Roman"/>
        </w:rPr>
        <w:t xml:space="preserve"> In </w:t>
      </w:r>
      <w:r w:rsidRPr="00821079">
        <w:rPr>
          <w:rFonts w:ascii="Times New Roman" w:hAnsi="Times New Roman" w:cs="Times New Roman"/>
        </w:rPr>
        <w:t>India</w:t>
      </w:r>
      <w:r w:rsidR="0099753C" w:rsidRPr="00821079">
        <w:rPr>
          <w:rFonts w:ascii="Times New Roman" w:hAnsi="Times New Roman" w:cs="Times New Roman"/>
        </w:rPr>
        <w:t xml:space="preserve"> 10,000 children every ye</w:t>
      </w:r>
      <w:r w:rsidRPr="00821079">
        <w:rPr>
          <w:rFonts w:ascii="Times New Roman" w:hAnsi="Times New Roman" w:cs="Times New Roman"/>
        </w:rPr>
        <w:t>ar are born suffering from thalas</w:t>
      </w:r>
      <w:r w:rsidR="0099753C" w:rsidRPr="00821079">
        <w:rPr>
          <w:rFonts w:ascii="Times New Roman" w:hAnsi="Times New Roman" w:cs="Times New Roman"/>
        </w:rPr>
        <w:t>semia major, amounting to approximately 10% of total world numbers</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[4]</w:t>
      </w:r>
      <w:r w:rsidR="005C33FB" w:rsidRPr="00821079">
        <w:rPr>
          <w:rFonts w:ascii="Times New Roman" w:hAnsi="Times New Roman" w:cs="Times New Roman"/>
        </w:rPr>
        <w:t>.</w:t>
      </w:r>
      <w:r w:rsidRPr="00821079">
        <w:rPr>
          <w:rFonts w:ascii="Times New Roman" w:hAnsi="Times New Roman" w:cs="Times New Roman"/>
          <w:vertAlign w:val="superscript"/>
        </w:rPr>
        <w:t xml:space="preserve"> </w:t>
      </w:r>
      <w:r w:rsidR="0099753C" w:rsidRPr="00821079">
        <w:rPr>
          <w:rFonts w:ascii="Times New Roman" w:hAnsi="Times New Roman" w:cs="Times New Roman"/>
        </w:rPr>
        <w:t xml:space="preserve">In </w:t>
      </w:r>
      <w:r w:rsidRPr="00821079">
        <w:rPr>
          <w:rFonts w:ascii="Times New Roman" w:hAnsi="Times New Roman" w:cs="Times New Roman"/>
        </w:rPr>
        <w:t>India individuals with beta thalas</w:t>
      </w:r>
      <w:r w:rsidR="00C627B4">
        <w:rPr>
          <w:rFonts w:ascii="Times New Roman" w:hAnsi="Times New Roman" w:cs="Times New Roman"/>
        </w:rPr>
        <w:t>semia are</w:t>
      </w:r>
      <w:r w:rsidR="0099753C" w:rsidRPr="00821079">
        <w:rPr>
          <w:rFonts w:ascii="Times New Roman" w:hAnsi="Times New Roman" w:cs="Times New Roman"/>
        </w:rPr>
        <w:t xml:space="preserve"> 3.5-15% </w:t>
      </w:r>
      <w:r w:rsidR="00375169" w:rsidRPr="00821079">
        <w:rPr>
          <w:rFonts w:ascii="Times New Roman" w:hAnsi="Times New Roman" w:cs="Times New Roman"/>
        </w:rPr>
        <w:t>in total population</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[5]</w:t>
      </w:r>
      <w:r w:rsidR="005C33FB" w:rsidRPr="00821079">
        <w:rPr>
          <w:rFonts w:ascii="Times New Roman" w:hAnsi="Times New Roman" w:cs="Times New Roman"/>
        </w:rPr>
        <w:t>.</w:t>
      </w:r>
      <w:r w:rsidR="005B3342" w:rsidRPr="00821079">
        <w:rPr>
          <w:rFonts w:ascii="Times New Roman" w:hAnsi="Times New Roman" w:cs="Times New Roman"/>
        </w:rPr>
        <w:t xml:space="preserve"> Almost 10 billion ru</w:t>
      </w:r>
      <w:r w:rsidRPr="00821079">
        <w:rPr>
          <w:rFonts w:ascii="Times New Roman" w:hAnsi="Times New Roman" w:cs="Times New Roman"/>
        </w:rPr>
        <w:t>pees per year is spent for thalas</w:t>
      </w:r>
      <w:r w:rsidR="005B3342" w:rsidRPr="00821079">
        <w:rPr>
          <w:rFonts w:ascii="Times New Roman" w:hAnsi="Times New Roman" w:cs="Times New Roman"/>
        </w:rPr>
        <w:t xml:space="preserve">semia patients in </w:t>
      </w:r>
      <w:r w:rsidRPr="00821079">
        <w:rPr>
          <w:rFonts w:ascii="Times New Roman" w:hAnsi="Times New Roman" w:cs="Times New Roman"/>
        </w:rPr>
        <w:t>India</w:t>
      </w:r>
      <w:r w:rsidR="005B3342" w:rsidRPr="00821079">
        <w:rPr>
          <w:rFonts w:ascii="Times New Roman" w:hAnsi="Times New Roman" w:cs="Times New Roman"/>
        </w:rPr>
        <w:t xml:space="preserve">. In </w:t>
      </w:r>
      <w:r w:rsidRPr="00821079">
        <w:rPr>
          <w:rFonts w:ascii="Times New Roman" w:hAnsi="Times New Roman" w:cs="Times New Roman"/>
        </w:rPr>
        <w:t>India</w:t>
      </w:r>
      <w:r w:rsidR="005B3342" w:rsidRPr="00821079">
        <w:rPr>
          <w:rFonts w:ascii="Times New Roman" w:hAnsi="Times New Roman" w:cs="Times New Roman"/>
        </w:rPr>
        <w:t xml:space="preserve"> still the conventional methods </w:t>
      </w:r>
      <w:r w:rsidR="005B3342" w:rsidRPr="00821079">
        <w:rPr>
          <w:rFonts w:ascii="Times New Roman" w:hAnsi="Times New Roman" w:cs="Times New Roman"/>
        </w:rPr>
        <w:lastRenderedPageBreak/>
        <w:t xml:space="preserve">are used in most of the places for diagnosing these defects. These </w:t>
      </w:r>
      <w:r w:rsidR="00D81377" w:rsidRPr="00821079">
        <w:rPr>
          <w:rFonts w:ascii="Times New Roman" w:hAnsi="Times New Roman" w:cs="Times New Roman"/>
        </w:rPr>
        <w:t xml:space="preserve">conventional methods </w:t>
      </w:r>
      <w:r w:rsidR="005B3342" w:rsidRPr="00821079">
        <w:rPr>
          <w:rFonts w:ascii="Times New Roman" w:hAnsi="Times New Roman" w:cs="Times New Roman"/>
        </w:rPr>
        <w:t xml:space="preserve">are family history, clinical features, hemoglobin level, red blood cell indices, </w:t>
      </w:r>
      <w:r w:rsidR="00D81377" w:rsidRPr="00821079">
        <w:rPr>
          <w:rFonts w:ascii="Times New Roman" w:hAnsi="Times New Roman" w:cs="Times New Roman"/>
        </w:rPr>
        <w:t>red cell count, peripheral blood smear study, Hb A2 quantification, Hb F quantification, cellulose acetate electrophoresis at alkaline pH for hemoglobin and sickling test.</w:t>
      </w:r>
      <w:r w:rsidR="005B3342" w:rsidRPr="00821079">
        <w:rPr>
          <w:rFonts w:ascii="Times New Roman" w:hAnsi="Times New Roman" w:cs="Times New Roman"/>
        </w:rPr>
        <w:t xml:space="preserve"> </w:t>
      </w:r>
      <w:r w:rsidR="005F6E12" w:rsidRPr="00821079">
        <w:rPr>
          <w:rFonts w:ascii="Times New Roman" w:hAnsi="Times New Roman" w:cs="Times New Roman"/>
        </w:rPr>
        <w:t>Various drawbacks and shortcomings of these methods are that Hb S,G,D,Q and Lepore have same mobility on electrophoresis and Hb A2,C and E also have same mobility</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[6]</w:t>
      </w:r>
      <w:r w:rsidR="005C33FB" w:rsidRPr="00821079">
        <w:rPr>
          <w:rFonts w:ascii="Times New Roman" w:hAnsi="Times New Roman" w:cs="Times New Roman"/>
        </w:rPr>
        <w:t>.</w:t>
      </w:r>
      <w:r w:rsidR="005F6E12" w:rsidRPr="00821079">
        <w:rPr>
          <w:rFonts w:ascii="Times New Roman" w:hAnsi="Times New Roman" w:cs="Times New Roman"/>
        </w:rPr>
        <w:t xml:space="preserve"> Double heterozygous states also are difficult to diagnose</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[6]</w:t>
      </w:r>
      <w:r w:rsidR="005C33FB" w:rsidRPr="00821079">
        <w:rPr>
          <w:rFonts w:ascii="Times New Roman" w:hAnsi="Times New Roman" w:cs="Times New Roman"/>
        </w:rPr>
        <w:t xml:space="preserve">. </w:t>
      </w:r>
      <w:r w:rsidR="005F6E12" w:rsidRPr="00821079">
        <w:rPr>
          <w:rFonts w:ascii="Times New Roman" w:hAnsi="Times New Roman" w:cs="Times New Roman"/>
        </w:rPr>
        <w:t xml:space="preserve">Clinical and laboratory features have low specificity. </w:t>
      </w:r>
    </w:p>
    <w:p w:rsidR="000D3B99" w:rsidRPr="00821079" w:rsidRDefault="00AA272F" w:rsidP="00821079">
      <w:pPr>
        <w:pStyle w:val="NoSpacing"/>
        <w:ind w:firstLine="720"/>
        <w:jc w:val="both"/>
        <w:rPr>
          <w:rFonts w:ascii="Times New Roman" w:hAnsi="Times New Roman" w:cs="Times New Roman"/>
        </w:rPr>
      </w:pPr>
      <w:r w:rsidRPr="00821079">
        <w:rPr>
          <w:rFonts w:ascii="Times New Roman" w:hAnsi="Times New Roman" w:cs="Times New Roman"/>
        </w:rPr>
        <w:t xml:space="preserve">Parents with various heterozygous states can lead to offspring with double heterozygous or homozygous defects. </w:t>
      </w:r>
      <w:r w:rsidR="00F506BA" w:rsidRPr="00821079">
        <w:rPr>
          <w:rFonts w:ascii="Times New Roman" w:hAnsi="Times New Roman" w:cs="Times New Roman"/>
        </w:rPr>
        <w:t>Automated c</w:t>
      </w:r>
      <w:r w:rsidRPr="00821079">
        <w:rPr>
          <w:rFonts w:ascii="Times New Roman" w:hAnsi="Times New Roman" w:cs="Times New Roman"/>
        </w:rPr>
        <w:t>ation exchange high perfor</w:t>
      </w:r>
      <w:r w:rsidR="00F506BA" w:rsidRPr="00821079">
        <w:rPr>
          <w:rFonts w:ascii="Times New Roman" w:hAnsi="Times New Roman" w:cs="Times New Roman"/>
        </w:rPr>
        <w:t>mance liquid chromatography is being increasingly used as the initial diagnostic method for identifying various normal and abnormal hemoglobin</w:t>
      </w:r>
      <w:r w:rsidR="005C33FB" w:rsidRPr="00821079">
        <w:rPr>
          <w:rFonts w:ascii="Times New Roman" w:hAnsi="Times New Roman" w:cs="Times New Roman"/>
        </w:rPr>
        <w:t xml:space="preserve"> </w:t>
      </w:r>
      <w:r w:rsidR="00C627B4">
        <w:rPr>
          <w:rFonts w:ascii="Times New Roman" w:hAnsi="Times New Roman" w:cs="Times New Roman"/>
          <w:vertAlign w:val="superscript"/>
        </w:rPr>
        <w:t>[7,</w:t>
      </w:r>
      <w:r w:rsidR="005C33FB" w:rsidRPr="00C627B4">
        <w:rPr>
          <w:rFonts w:ascii="Times New Roman" w:hAnsi="Times New Roman" w:cs="Times New Roman"/>
          <w:vertAlign w:val="superscript"/>
        </w:rPr>
        <w:t>8]</w:t>
      </w:r>
      <w:r w:rsidR="005C33FB" w:rsidRPr="00821079">
        <w:rPr>
          <w:rFonts w:ascii="Times New Roman" w:hAnsi="Times New Roman" w:cs="Times New Roman"/>
        </w:rPr>
        <w:t xml:space="preserve">. </w:t>
      </w:r>
      <w:r w:rsidR="00F506BA" w:rsidRPr="00821079">
        <w:rPr>
          <w:rFonts w:ascii="Times New Roman" w:hAnsi="Times New Roman" w:cs="Times New Roman"/>
        </w:rPr>
        <w:t xml:space="preserve">It is simple, easy, reliable, accurate yet cost effective method for early detection of </w:t>
      </w:r>
      <w:r w:rsidR="000D3B99" w:rsidRPr="00821079">
        <w:rPr>
          <w:rFonts w:ascii="Times New Roman" w:hAnsi="Times New Roman" w:cs="Times New Roman"/>
        </w:rPr>
        <w:t>normal and abnormal hemoglobin</w:t>
      </w:r>
      <w:r w:rsidR="005C33FB" w:rsidRPr="00821079">
        <w:rPr>
          <w:rFonts w:ascii="Times New Roman" w:hAnsi="Times New Roman" w:cs="Times New Roman"/>
        </w:rPr>
        <w:t xml:space="preserve"> </w:t>
      </w:r>
      <w:r w:rsidR="00C627B4">
        <w:rPr>
          <w:rFonts w:ascii="Times New Roman" w:hAnsi="Times New Roman" w:cs="Times New Roman"/>
          <w:vertAlign w:val="superscript"/>
        </w:rPr>
        <w:t>[9,</w:t>
      </w:r>
      <w:r w:rsidR="005C33FB" w:rsidRPr="00C627B4">
        <w:rPr>
          <w:rFonts w:ascii="Times New Roman" w:hAnsi="Times New Roman" w:cs="Times New Roman"/>
          <w:vertAlign w:val="superscript"/>
        </w:rPr>
        <w:t>10]</w:t>
      </w:r>
      <w:r w:rsidR="005C33FB" w:rsidRPr="00821079">
        <w:rPr>
          <w:rFonts w:ascii="Times New Roman" w:hAnsi="Times New Roman" w:cs="Times New Roman"/>
        </w:rPr>
        <w:t>.</w:t>
      </w:r>
    </w:p>
    <w:p w:rsidR="005C33FB" w:rsidRPr="00821079" w:rsidRDefault="005C33FB" w:rsidP="000D3B99">
      <w:pPr>
        <w:pStyle w:val="NoSpacing"/>
        <w:jc w:val="both"/>
        <w:rPr>
          <w:rFonts w:ascii="Times New Roman" w:hAnsi="Times New Roman" w:cs="Times New Roman"/>
          <w:vertAlign w:val="superscript"/>
        </w:rPr>
      </w:pPr>
    </w:p>
    <w:p w:rsidR="00AA272F" w:rsidRPr="00821079" w:rsidRDefault="00DC7E40" w:rsidP="00DC7E40">
      <w:pPr>
        <w:pStyle w:val="NoSpacing"/>
        <w:rPr>
          <w:rFonts w:ascii="Times New Roman" w:hAnsi="Times New Roman" w:cs="Times New Roman"/>
          <w:b/>
          <w:bCs/>
        </w:rPr>
      </w:pPr>
      <w:r w:rsidRPr="00821079">
        <w:rPr>
          <w:rFonts w:ascii="Times New Roman" w:hAnsi="Times New Roman" w:cs="Times New Roman"/>
          <w:b/>
          <w:bCs/>
        </w:rPr>
        <w:t>METHODOLOGY</w:t>
      </w:r>
    </w:p>
    <w:p w:rsidR="000D3B99" w:rsidRPr="00821079" w:rsidRDefault="000D3B99" w:rsidP="000D3B99">
      <w:pPr>
        <w:autoSpaceDE w:val="0"/>
        <w:autoSpaceDN w:val="0"/>
        <w:adjustRightInd w:val="0"/>
        <w:spacing w:after="0" w:line="240" w:lineRule="auto"/>
        <w:jc w:val="both"/>
        <w:rPr>
          <w:rFonts w:ascii="Times New Roman" w:eastAsia="ArrusBT-Roman" w:hAnsi="Times New Roman" w:cs="Times New Roman"/>
        </w:rPr>
      </w:pPr>
    </w:p>
    <w:p w:rsidR="00883208" w:rsidRPr="00821079" w:rsidRDefault="00883208"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Total 2035 sample received and studied from January 2015 to August 2016 that were sent for hemoglobin variant analysis in a tertiary care center in north Gujara</w:t>
      </w:r>
      <w:r w:rsidR="00AF76E2" w:rsidRPr="00821079">
        <w:rPr>
          <w:rFonts w:ascii="Times New Roman" w:eastAsia="ArrusBT-Roman" w:hAnsi="Times New Roman" w:cs="Times New Roman"/>
        </w:rPr>
        <w:t>t. Most of the cases were from N</w:t>
      </w:r>
      <w:r w:rsidRPr="00821079">
        <w:rPr>
          <w:rFonts w:ascii="Times New Roman" w:eastAsia="ArrusBT-Roman" w:hAnsi="Times New Roman" w:cs="Times New Roman"/>
        </w:rPr>
        <w:t xml:space="preserve">orth gujarat and </w:t>
      </w:r>
      <w:r w:rsidR="00AF76E2" w:rsidRPr="00821079">
        <w:rPr>
          <w:rFonts w:ascii="Times New Roman" w:eastAsia="ArrusBT-Roman" w:hAnsi="Times New Roman" w:cs="Times New Roman"/>
        </w:rPr>
        <w:t>Kutch</w:t>
      </w:r>
      <w:r w:rsidRPr="00821079">
        <w:rPr>
          <w:rFonts w:ascii="Times New Roman" w:eastAsia="ArrusBT-Roman" w:hAnsi="Times New Roman" w:cs="Times New Roman"/>
        </w:rPr>
        <w:t xml:space="preserve"> area of Gujarat with some were from Rajasthan, Madhya Pradesh, Uttarpradesh and </w:t>
      </w:r>
      <w:r w:rsidR="00AF76E2" w:rsidRPr="00821079">
        <w:rPr>
          <w:rFonts w:ascii="Times New Roman" w:eastAsia="ArrusBT-Roman" w:hAnsi="Times New Roman" w:cs="Times New Roman"/>
        </w:rPr>
        <w:t>Bihar</w:t>
      </w:r>
      <w:r w:rsidRPr="00821079">
        <w:rPr>
          <w:rFonts w:ascii="Times New Roman" w:eastAsia="ArrusBT-Roman" w:hAnsi="Times New Roman" w:cs="Times New Roman"/>
        </w:rPr>
        <w:t xml:space="preserve">. Naked eye single tube </w:t>
      </w:r>
      <w:r w:rsidR="003A1396" w:rsidRPr="00821079">
        <w:rPr>
          <w:rFonts w:ascii="Times New Roman" w:eastAsia="ArrusBT-Roman" w:hAnsi="Times New Roman" w:cs="Times New Roman"/>
        </w:rPr>
        <w:t xml:space="preserve">red cell osmotic fragility test was done and observed for hemolysis. All the samples were run by automated hematology analyzer (cellenium trivitron, abacus3 and abacus5) and hemoglobin values and red cell indices were noted. The whole blood </w:t>
      </w:r>
      <w:r w:rsidR="00AF76E2" w:rsidRPr="00821079">
        <w:rPr>
          <w:rFonts w:ascii="Times New Roman" w:eastAsia="ArrusBT-Roman" w:hAnsi="Times New Roman" w:cs="Times New Roman"/>
        </w:rPr>
        <w:t>samples were</w:t>
      </w:r>
      <w:r w:rsidR="003A1396" w:rsidRPr="00821079">
        <w:rPr>
          <w:rFonts w:ascii="Times New Roman" w:eastAsia="ArrusBT-Roman" w:hAnsi="Times New Roman" w:cs="Times New Roman"/>
        </w:rPr>
        <w:t xml:space="preserve"> taken in K3 EDTA (</w:t>
      </w:r>
      <w:r w:rsidR="00AF76E2" w:rsidRPr="00821079">
        <w:rPr>
          <w:rFonts w:ascii="Times New Roman" w:hAnsi="Times New Roman" w:cs="Times New Roman"/>
        </w:rPr>
        <w:t>Ethylene Diamine Tetraacetic A</w:t>
      </w:r>
      <w:r w:rsidR="003A1396" w:rsidRPr="00821079">
        <w:rPr>
          <w:rFonts w:ascii="Times New Roman" w:hAnsi="Times New Roman" w:cs="Times New Roman"/>
        </w:rPr>
        <w:t xml:space="preserve">cid) anticoagulant containing vacutte. </w:t>
      </w:r>
      <w:r w:rsidR="00AF76E2" w:rsidRPr="00821079">
        <w:rPr>
          <w:rFonts w:ascii="Times New Roman" w:hAnsi="Times New Roman" w:cs="Times New Roman"/>
        </w:rPr>
        <w:t>Anticoagulated</w:t>
      </w:r>
      <w:r w:rsidR="003A1396" w:rsidRPr="00821079">
        <w:rPr>
          <w:rFonts w:ascii="Times New Roman" w:hAnsi="Times New Roman" w:cs="Times New Roman"/>
        </w:rPr>
        <w:t xml:space="preserve"> whole blood samples were analyzed with</w:t>
      </w:r>
      <w:r w:rsidR="00177EB5" w:rsidRPr="00821079">
        <w:rPr>
          <w:rFonts w:ascii="Times New Roman" w:hAnsi="Times New Roman" w:cs="Times New Roman"/>
        </w:rPr>
        <w:t xml:space="preserve"> </w:t>
      </w:r>
      <w:r w:rsidR="003660D6" w:rsidRPr="00821079">
        <w:rPr>
          <w:rFonts w:ascii="Times New Roman" w:hAnsi="Times New Roman" w:cs="Times New Roman"/>
        </w:rPr>
        <w:t>BIO-RAD VARIANT II (beta thal</w:t>
      </w:r>
      <w:r w:rsidR="00177EB5" w:rsidRPr="00821079">
        <w:rPr>
          <w:rFonts w:ascii="Times New Roman" w:hAnsi="Times New Roman" w:cs="Times New Roman"/>
        </w:rPr>
        <w:t>a</w:t>
      </w:r>
      <w:r w:rsidR="003660D6" w:rsidRPr="00821079">
        <w:rPr>
          <w:rFonts w:ascii="Times New Roman" w:hAnsi="Times New Roman" w:cs="Times New Roman"/>
        </w:rPr>
        <w:t>s</w:t>
      </w:r>
      <w:r w:rsidR="003A1396" w:rsidRPr="00821079">
        <w:rPr>
          <w:rFonts w:ascii="Times New Roman" w:hAnsi="Times New Roman" w:cs="Times New Roman"/>
        </w:rPr>
        <w:t xml:space="preserve">semia short program) machine by BIO-RAD laboratories, United States of America. </w:t>
      </w:r>
      <w:r w:rsidR="0056490B" w:rsidRPr="00821079">
        <w:rPr>
          <w:rFonts w:ascii="Times New Roman" w:hAnsi="Times New Roman" w:cs="Times New Roman"/>
        </w:rPr>
        <w:t xml:space="preserve">It runs on cation exchange high performance liquid chromatography principle. On each run, one calibrator and two controls with one blank were added initially. Acceptable area was between 1-3 million. Ranges outside this area had been rejected. All the data regarding clinical history, history of blood transfusion were recorded. Chromatogram results of samples printed. </w:t>
      </w:r>
      <w:r w:rsidR="00177EB5" w:rsidRPr="00821079">
        <w:rPr>
          <w:rFonts w:ascii="Times New Roman" w:hAnsi="Times New Roman" w:cs="Times New Roman"/>
        </w:rPr>
        <w:t>Specific defined windows are there from manufacturer from specific retention time and integrated peaks are accordingly assigned</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[11]</w:t>
      </w:r>
      <w:r w:rsidR="005C33FB" w:rsidRPr="00821079">
        <w:rPr>
          <w:rFonts w:ascii="Times New Roman" w:hAnsi="Times New Roman" w:cs="Times New Roman"/>
        </w:rPr>
        <w:t xml:space="preserve">. </w:t>
      </w:r>
      <w:r w:rsidR="00177EB5" w:rsidRPr="00821079">
        <w:rPr>
          <w:rFonts w:ascii="Times New Roman" w:hAnsi="Times New Roman" w:cs="Times New Roman"/>
        </w:rPr>
        <w:t>The retention time is the time taken from the sample injection up to the apex of elution peak</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[11]</w:t>
      </w:r>
      <w:r w:rsidR="005C33FB" w:rsidRPr="00821079">
        <w:rPr>
          <w:rFonts w:ascii="Times New Roman" w:hAnsi="Times New Roman" w:cs="Times New Roman"/>
        </w:rPr>
        <w:t>.</w:t>
      </w:r>
      <w:r w:rsidR="005C33FB" w:rsidRPr="00821079">
        <w:rPr>
          <w:rFonts w:ascii="Times New Roman" w:hAnsi="Times New Roman" w:cs="Times New Roman"/>
          <w:vertAlign w:val="superscript"/>
        </w:rPr>
        <w:t xml:space="preserve"> </w:t>
      </w:r>
      <w:r w:rsidR="00177EB5" w:rsidRPr="00821079">
        <w:rPr>
          <w:rFonts w:ascii="Times New Roman" w:hAnsi="Times New Roman" w:cs="Times New Roman"/>
        </w:rPr>
        <w:t>Established ranges of elution of common hemoglobin variants are marked as “windows</w:t>
      </w:r>
      <w:r w:rsidR="003660D6" w:rsidRPr="00821079">
        <w:rPr>
          <w:rFonts w:ascii="Times New Roman" w:hAnsi="Times New Roman" w:cs="Times New Roman"/>
        </w:rPr>
        <w:t>” (Table 1)</w:t>
      </w:r>
      <w:r w:rsidR="00177EB5" w:rsidRPr="00821079">
        <w:rPr>
          <w:rFonts w:ascii="Times New Roman" w:hAnsi="Times New Roman" w:cs="Times New Roman"/>
        </w:rPr>
        <w:t>.</w:t>
      </w:r>
      <w:r w:rsidR="00FC4F8F" w:rsidRPr="00821079">
        <w:rPr>
          <w:rFonts w:ascii="Times New Roman" w:hAnsi="Times New Roman" w:cs="Times New Roman"/>
        </w:rPr>
        <w:t xml:space="preserve"> Chromatogram result shows retention time, area, area percentage and concentration. Retention time not assigned comes as an unknown. Each sample takes somewhat around 6 minutes for result.</w:t>
      </w:r>
    </w:p>
    <w:p w:rsidR="000D3B99" w:rsidRPr="00821079" w:rsidRDefault="000D3B99" w:rsidP="000D3B99">
      <w:pPr>
        <w:autoSpaceDE w:val="0"/>
        <w:autoSpaceDN w:val="0"/>
        <w:adjustRightInd w:val="0"/>
        <w:spacing w:after="0" w:line="240" w:lineRule="auto"/>
        <w:jc w:val="both"/>
        <w:rPr>
          <w:rFonts w:ascii="Times New Roman" w:eastAsia="ArrusBT-Roman" w:hAnsi="Times New Roman" w:cs="Times New Roman"/>
        </w:rPr>
      </w:pPr>
    </w:p>
    <w:p w:rsidR="000D3B99" w:rsidRPr="00821079" w:rsidRDefault="00FC4F8F" w:rsidP="00FC4F8F">
      <w:pPr>
        <w:autoSpaceDE w:val="0"/>
        <w:autoSpaceDN w:val="0"/>
        <w:adjustRightInd w:val="0"/>
        <w:spacing w:after="0" w:line="240" w:lineRule="auto"/>
        <w:jc w:val="center"/>
        <w:rPr>
          <w:rFonts w:ascii="Times New Roman" w:eastAsia="ArrusBT-Roman" w:hAnsi="Times New Roman" w:cs="Times New Roman"/>
          <w:b/>
          <w:bCs/>
        </w:rPr>
      </w:pPr>
      <w:r w:rsidRPr="00821079">
        <w:rPr>
          <w:rFonts w:ascii="Times New Roman" w:eastAsia="ArrusBT-Roman" w:hAnsi="Times New Roman" w:cs="Times New Roman"/>
          <w:b/>
          <w:bCs/>
        </w:rPr>
        <w:t>Table 1</w:t>
      </w:r>
      <w:r w:rsidR="003660D6" w:rsidRPr="00821079">
        <w:rPr>
          <w:rFonts w:ascii="Times New Roman" w:eastAsia="ArrusBT-Roman" w:hAnsi="Times New Roman" w:cs="Times New Roman"/>
          <w:b/>
          <w:bCs/>
        </w:rPr>
        <w:t>:</w:t>
      </w:r>
      <w:r w:rsidRPr="00821079">
        <w:rPr>
          <w:rFonts w:ascii="Times New Roman" w:eastAsia="ArrusBT-Roman" w:hAnsi="Times New Roman" w:cs="Times New Roman"/>
          <w:b/>
          <w:bCs/>
        </w:rPr>
        <w:t xml:space="preserve"> Window time and retention time of predefined parameters</w:t>
      </w:r>
      <w:r w:rsidR="00DD140B" w:rsidRPr="00821079">
        <w:rPr>
          <w:rFonts w:ascii="Times New Roman" w:eastAsia="ArrusBT-Roman" w:hAnsi="Times New Roman" w:cs="Times New Roman"/>
          <w:b/>
          <w:bCs/>
        </w:rPr>
        <w:t xml:space="preserve"> of BIO-RAD VARIANT II</w:t>
      </w:r>
    </w:p>
    <w:p w:rsidR="00FC4F8F" w:rsidRPr="00821079" w:rsidRDefault="00FC4F8F" w:rsidP="00FC4F8F">
      <w:pPr>
        <w:autoSpaceDE w:val="0"/>
        <w:autoSpaceDN w:val="0"/>
        <w:adjustRightInd w:val="0"/>
        <w:spacing w:after="0" w:line="240" w:lineRule="auto"/>
        <w:jc w:val="center"/>
        <w:rPr>
          <w:rFonts w:ascii="Times New Roman" w:eastAsia="ArrusBT-Roman" w:hAnsi="Times New Roman" w:cs="Times New Roman"/>
        </w:rPr>
      </w:pPr>
    </w:p>
    <w:tbl>
      <w:tblPr>
        <w:tblStyle w:val="TableGrid"/>
        <w:tblW w:w="0" w:type="auto"/>
        <w:tblLook w:val="04A0"/>
      </w:tblPr>
      <w:tblGrid>
        <w:gridCol w:w="3192"/>
        <w:gridCol w:w="3192"/>
        <w:gridCol w:w="3192"/>
      </w:tblGrid>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Peak name</w:t>
            </w:r>
          </w:p>
        </w:tc>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Window(min)</w:t>
            </w:r>
          </w:p>
        </w:tc>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Retention time(min)</w:t>
            </w:r>
          </w:p>
        </w:tc>
      </w:tr>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F</w:t>
            </w:r>
            <w:r w:rsidR="00DD140B" w:rsidRPr="00821079">
              <w:rPr>
                <w:rFonts w:ascii="Times New Roman" w:eastAsia="ArrusBT-Roman" w:hAnsi="Times New Roman" w:cs="Times New Roman"/>
              </w:rPr>
              <w:t xml:space="preserve"> </w:t>
            </w:r>
            <w:r w:rsidRPr="00821079">
              <w:rPr>
                <w:rFonts w:ascii="Times New Roman" w:eastAsia="ArrusBT-Roman" w:hAnsi="Times New Roman" w:cs="Times New Roman"/>
              </w:rPr>
              <w:t>window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1.00-1.30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1.15</w:t>
            </w:r>
          </w:p>
        </w:tc>
      </w:tr>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vertAlign w:val="superscript"/>
              </w:rPr>
            </w:pPr>
            <w:r w:rsidRPr="00821079">
              <w:rPr>
                <w:rFonts w:ascii="Times New Roman" w:eastAsia="ArrusBT-Roman" w:hAnsi="Times New Roman" w:cs="Times New Roman"/>
              </w:rPr>
              <w:t>P2 window</w:t>
            </w:r>
            <w:r w:rsidR="00DD140B" w:rsidRPr="00821079">
              <w:rPr>
                <w:rFonts w:ascii="Times New Roman" w:eastAsia="ArrusBT-Roman" w:hAnsi="Times New Roman" w:cs="Times New Roman"/>
                <w:vertAlign w:val="superscript"/>
              </w:rPr>
              <w:t>*</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1.30-1.60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1.45</w:t>
            </w:r>
          </w:p>
        </w:tc>
      </w:tr>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vertAlign w:val="superscript"/>
              </w:rPr>
            </w:pPr>
            <w:r w:rsidRPr="00821079">
              <w:rPr>
                <w:rFonts w:ascii="Times New Roman" w:eastAsia="ArrusBT-Roman" w:hAnsi="Times New Roman" w:cs="Times New Roman"/>
              </w:rPr>
              <w:t>P3 window</w:t>
            </w:r>
            <w:r w:rsidR="00DD140B" w:rsidRPr="00821079">
              <w:rPr>
                <w:rFonts w:ascii="Times New Roman" w:eastAsia="ArrusBT-Roman" w:hAnsi="Times New Roman" w:cs="Times New Roman"/>
                <w:vertAlign w:val="superscript"/>
              </w:rPr>
              <w:t>*</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1.60-1.90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1.75</w:t>
            </w:r>
          </w:p>
        </w:tc>
      </w:tr>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A</w:t>
            </w:r>
            <w:r w:rsidR="00BA5268" w:rsidRPr="00821079">
              <w:rPr>
                <w:rFonts w:ascii="Times New Roman" w:eastAsia="ArrusBT-Roman" w:hAnsi="Times New Roman" w:cs="Times New Roman"/>
                <w:vertAlign w:val="subscript"/>
              </w:rPr>
              <w:t>0</w:t>
            </w:r>
            <w:r w:rsidRPr="00821079">
              <w:rPr>
                <w:rFonts w:ascii="Times New Roman" w:eastAsia="ArrusBT-Roman" w:hAnsi="Times New Roman" w:cs="Times New Roman"/>
              </w:rPr>
              <w:t xml:space="preserve"> win</w:t>
            </w:r>
            <w:r w:rsidR="00BA5268" w:rsidRPr="00821079">
              <w:rPr>
                <w:rFonts w:ascii="Times New Roman" w:eastAsia="ArrusBT-Roman" w:hAnsi="Times New Roman" w:cs="Times New Roman"/>
              </w:rPr>
              <w:t>d</w:t>
            </w:r>
            <w:r w:rsidRPr="00821079">
              <w:rPr>
                <w:rFonts w:ascii="Times New Roman" w:eastAsia="ArrusBT-Roman" w:hAnsi="Times New Roman" w:cs="Times New Roman"/>
              </w:rPr>
              <w:t>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1.90-3.30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2.60</w:t>
            </w:r>
          </w:p>
        </w:tc>
      </w:tr>
      <w:tr w:rsidR="00FC4F8F" w:rsidRPr="00821079" w:rsidTr="00FC4F8F">
        <w:tc>
          <w:tcPr>
            <w:tcW w:w="3192" w:type="dxa"/>
          </w:tcPr>
          <w:p w:rsidR="00FC4F8F" w:rsidRPr="00821079" w:rsidRDefault="00FC4F8F"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 xml:space="preserve">A2 </w:t>
            </w:r>
            <w:r w:rsidR="00DD140B" w:rsidRPr="00821079">
              <w:rPr>
                <w:rFonts w:ascii="Times New Roman" w:eastAsia="ArrusBT-Roman" w:hAnsi="Times New Roman" w:cs="Times New Roman"/>
              </w:rPr>
              <w:t>window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3.30-3.90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3.60</w:t>
            </w:r>
          </w:p>
        </w:tc>
      </w:tr>
      <w:tr w:rsidR="00FC4F8F" w:rsidRPr="00821079" w:rsidTr="00FC4F8F">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D window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3.90-4.30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4.10</w:t>
            </w:r>
          </w:p>
        </w:tc>
      </w:tr>
      <w:tr w:rsidR="00FC4F8F" w:rsidRPr="00821079" w:rsidTr="00FC4F8F">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S window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4.30-4.70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4.50</w:t>
            </w:r>
          </w:p>
        </w:tc>
      </w:tr>
      <w:tr w:rsidR="00FC4F8F" w:rsidRPr="00821079" w:rsidTr="00FC4F8F">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C window</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4.90-5.30</w:t>
            </w:r>
          </w:p>
        </w:tc>
        <w:tc>
          <w:tcPr>
            <w:tcW w:w="3192" w:type="dxa"/>
          </w:tcPr>
          <w:p w:rsidR="00FC4F8F" w:rsidRPr="00821079" w:rsidRDefault="00DD140B" w:rsidP="00FC4F8F">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5.10</w:t>
            </w:r>
          </w:p>
        </w:tc>
      </w:tr>
    </w:tbl>
    <w:p w:rsidR="00FC4F8F" w:rsidRPr="00821079" w:rsidRDefault="00FC4F8F" w:rsidP="00FC4F8F">
      <w:pPr>
        <w:autoSpaceDE w:val="0"/>
        <w:autoSpaceDN w:val="0"/>
        <w:adjustRightInd w:val="0"/>
        <w:spacing w:after="0" w:line="240" w:lineRule="auto"/>
        <w:jc w:val="center"/>
        <w:rPr>
          <w:rFonts w:ascii="Times New Roman" w:eastAsia="ArrusBT-Roman" w:hAnsi="Times New Roman" w:cs="Times New Roman"/>
        </w:rPr>
      </w:pPr>
    </w:p>
    <w:p w:rsidR="000D3B99" w:rsidRPr="00821079" w:rsidRDefault="00DD140B" w:rsidP="002F635E">
      <w:pPr>
        <w:autoSpaceDE w:val="0"/>
        <w:autoSpaceDN w:val="0"/>
        <w:adjustRightInd w:val="0"/>
        <w:spacing w:after="0" w:line="240" w:lineRule="auto"/>
        <w:jc w:val="center"/>
        <w:rPr>
          <w:rFonts w:ascii="Times New Roman" w:eastAsia="ArrusBT-Roman" w:hAnsi="Times New Roman" w:cs="Times New Roman"/>
        </w:rPr>
      </w:pPr>
      <w:r w:rsidRPr="00821079">
        <w:rPr>
          <w:rFonts w:ascii="Times New Roman" w:eastAsia="ArrusBT-Roman" w:hAnsi="Times New Roman" w:cs="Times New Roman"/>
          <w:vertAlign w:val="superscript"/>
        </w:rPr>
        <w:t>*</w:t>
      </w:r>
      <w:r w:rsidRPr="00821079">
        <w:rPr>
          <w:rFonts w:ascii="Times New Roman" w:eastAsia="ArrusBT-Roman" w:hAnsi="Times New Roman" w:cs="Times New Roman"/>
        </w:rPr>
        <w:t>P2 and P3 are associated with Hb A</w:t>
      </w:r>
    </w:p>
    <w:p w:rsidR="002F635E" w:rsidRPr="00821079" w:rsidRDefault="002F635E" w:rsidP="00DC7E40">
      <w:pPr>
        <w:autoSpaceDE w:val="0"/>
        <w:autoSpaceDN w:val="0"/>
        <w:adjustRightInd w:val="0"/>
        <w:spacing w:after="0" w:line="240" w:lineRule="auto"/>
        <w:rPr>
          <w:rFonts w:ascii="Times New Roman" w:eastAsia="ArrusBT-Roman" w:hAnsi="Times New Roman" w:cs="Times New Roman"/>
          <w:b/>
          <w:bCs/>
          <w:noProof/>
        </w:rPr>
      </w:pPr>
    </w:p>
    <w:p w:rsidR="000D3B99" w:rsidRPr="00821079" w:rsidRDefault="00DC7E40" w:rsidP="00DC7E40">
      <w:pPr>
        <w:autoSpaceDE w:val="0"/>
        <w:autoSpaceDN w:val="0"/>
        <w:adjustRightInd w:val="0"/>
        <w:spacing w:after="0" w:line="240" w:lineRule="auto"/>
        <w:rPr>
          <w:rFonts w:ascii="Times New Roman" w:eastAsia="ArrusBT-Roman" w:hAnsi="Times New Roman" w:cs="Times New Roman"/>
          <w:b/>
          <w:bCs/>
          <w:noProof/>
        </w:rPr>
      </w:pPr>
      <w:r w:rsidRPr="00821079">
        <w:rPr>
          <w:rFonts w:ascii="Times New Roman" w:eastAsia="ArrusBT-Roman" w:hAnsi="Times New Roman" w:cs="Times New Roman"/>
          <w:b/>
          <w:bCs/>
          <w:noProof/>
        </w:rPr>
        <w:t>RESULTS</w:t>
      </w:r>
    </w:p>
    <w:p w:rsidR="00396EEB" w:rsidRPr="00821079" w:rsidRDefault="00396EEB" w:rsidP="00396EEB">
      <w:pPr>
        <w:autoSpaceDE w:val="0"/>
        <w:autoSpaceDN w:val="0"/>
        <w:adjustRightInd w:val="0"/>
        <w:spacing w:after="0" w:line="240" w:lineRule="auto"/>
        <w:jc w:val="both"/>
        <w:rPr>
          <w:rFonts w:ascii="Times New Roman" w:eastAsia="ArrusBT-Roman" w:hAnsi="Times New Roman" w:cs="Times New Roman"/>
        </w:rPr>
      </w:pPr>
    </w:p>
    <w:p w:rsidR="000D3B99" w:rsidRPr="00821079" w:rsidRDefault="008A57D1" w:rsidP="00821079">
      <w:pPr>
        <w:autoSpaceDE w:val="0"/>
        <w:autoSpaceDN w:val="0"/>
        <w:adjustRightInd w:val="0"/>
        <w:spacing w:after="0" w:line="240" w:lineRule="auto"/>
        <w:ind w:firstLine="720"/>
        <w:jc w:val="both"/>
        <w:rPr>
          <w:rFonts w:ascii="Times New Roman" w:eastAsia="ArrusBT-Roman" w:hAnsi="Times New Roman" w:cs="Times New Roman"/>
          <w:color w:val="000000" w:themeColor="text1"/>
        </w:rPr>
      </w:pPr>
      <w:r w:rsidRPr="00821079">
        <w:rPr>
          <w:rFonts w:ascii="Times New Roman" w:eastAsia="ArrusBT-Roman" w:hAnsi="Times New Roman" w:cs="Times New Roman"/>
        </w:rPr>
        <w:lastRenderedPageBreak/>
        <w:t xml:space="preserve">Total 2035 samples received. Out of which 1186(58.28%) were male and 849(41.72%) were female. </w:t>
      </w:r>
      <w:r w:rsidR="001D4EB3" w:rsidRPr="00821079">
        <w:rPr>
          <w:rFonts w:ascii="Times New Roman" w:eastAsia="ArrusBT-Roman" w:hAnsi="Times New Roman" w:cs="Times New Roman"/>
        </w:rPr>
        <w:t xml:space="preserve">The overall sample patients age range was from 28 days to 74 years. The few upper age range was mostly grandparents of patients for parental screening. Total 386(18.96%) cases had abnormal hemoglobin fractions. Most common defect was increased Hb A2. 3.9% was </w:t>
      </w:r>
      <w:r w:rsidR="003660D6" w:rsidRPr="00821079">
        <w:rPr>
          <w:rFonts w:ascii="Times New Roman" w:eastAsia="ArrusBT-Roman" w:hAnsi="Times New Roman" w:cs="Times New Roman"/>
        </w:rPr>
        <w:t>taken as a cutoff for beta thal</w:t>
      </w:r>
      <w:r w:rsidR="001D4EB3" w:rsidRPr="00821079">
        <w:rPr>
          <w:rFonts w:ascii="Times New Roman" w:eastAsia="ArrusBT-Roman" w:hAnsi="Times New Roman" w:cs="Times New Roman"/>
        </w:rPr>
        <w:t>a</w:t>
      </w:r>
      <w:r w:rsidR="003660D6" w:rsidRPr="00821079">
        <w:rPr>
          <w:rFonts w:ascii="Times New Roman" w:eastAsia="ArrusBT-Roman" w:hAnsi="Times New Roman" w:cs="Times New Roman"/>
        </w:rPr>
        <w:t>s</w:t>
      </w:r>
      <w:r w:rsidR="001D4EB3" w:rsidRPr="00821079">
        <w:rPr>
          <w:rFonts w:ascii="Times New Roman" w:eastAsia="ArrusBT-Roman" w:hAnsi="Times New Roman" w:cs="Times New Roman"/>
        </w:rPr>
        <w:t xml:space="preserve">semia trait </w:t>
      </w:r>
      <w:r w:rsidR="003660D6" w:rsidRPr="00821079">
        <w:rPr>
          <w:rFonts w:ascii="Times New Roman" w:eastAsia="ArrusBT-Roman" w:hAnsi="Times New Roman" w:cs="Times New Roman"/>
        </w:rPr>
        <w:t>diagnosis (</w:t>
      </w:r>
      <w:r w:rsidR="001D4EB3" w:rsidRPr="00821079">
        <w:rPr>
          <w:rFonts w:ascii="Times New Roman" w:eastAsia="ArrusBT-Roman" w:hAnsi="Times New Roman" w:cs="Times New Roman"/>
        </w:rPr>
        <w:t xml:space="preserve">BTT). Total 216 cases were diagnosed with beta thalassemia </w:t>
      </w:r>
      <w:r w:rsidR="003660D6" w:rsidRPr="00821079">
        <w:rPr>
          <w:rFonts w:ascii="Times New Roman" w:eastAsia="ArrusBT-Roman" w:hAnsi="Times New Roman" w:cs="Times New Roman"/>
        </w:rPr>
        <w:t>trait (</w:t>
      </w:r>
      <w:r w:rsidR="001D4EB3" w:rsidRPr="00821079">
        <w:rPr>
          <w:rFonts w:ascii="Times New Roman" w:eastAsia="ArrusBT-Roman" w:hAnsi="Times New Roman" w:cs="Times New Roman"/>
        </w:rPr>
        <w:t>raised HbA2).</w:t>
      </w:r>
      <w:r w:rsidR="00AD0467" w:rsidRPr="00821079">
        <w:rPr>
          <w:rFonts w:ascii="Times New Roman" w:eastAsia="ArrusBT-Roman" w:hAnsi="Times New Roman" w:cs="Times New Roman"/>
        </w:rPr>
        <w:t xml:space="preserve"> Peripheral blood smear findings were microcytic hypochromic red blood cells, anisocytosis, and target cells. </w:t>
      </w:r>
      <w:r w:rsidR="00AD0467" w:rsidRPr="00821079">
        <w:rPr>
          <w:rFonts w:ascii="Times New Roman" w:eastAsia="ArrusBT-Roman" w:hAnsi="Times New Roman" w:cs="Times New Roman"/>
          <w:color w:val="000000" w:themeColor="text1"/>
        </w:rPr>
        <w:t xml:space="preserve">Red blood cell count is increase in most cases. </w:t>
      </w:r>
      <w:r w:rsidR="001D4EB3" w:rsidRPr="00821079">
        <w:rPr>
          <w:rFonts w:ascii="Times New Roman" w:eastAsia="ArrusBT-Roman" w:hAnsi="Times New Roman" w:cs="Times New Roman"/>
          <w:color w:val="000000" w:themeColor="text1"/>
        </w:rPr>
        <w:t>The Hb</w:t>
      </w:r>
      <w:r w:rsidR="003660D6" w:rsidRPr="00821079">
        <w:rPr>
          <w:rFonts w:ascii="Times New Roman" w:eastAsia="ArrusBT-Roman" w:hAnsi="Times New Roman" w:cs="Times New Roman"/>
          <w:color w:val="000000" w:themeColor="text1"/>
        </w:rPr>
        <w:t xml:space="preserve"> </w:t>
      </w:r>
      <w:r w:rsidR="001D4EB3" w:rsidRPr="00821079">
        <w:rPr>
          <w:rFonts w:ascii="Times New Roman" w:eastAsia="ArrusBT-Roman" w:hAnsi="Times New Roman" w:cs="Times New Roman"/>
          <w:color w:val="000000" w:themeColor="text1"/>
        </w:rPr>
        <w:t>A2 retention time was between 3.50 to 3.75 min. Table 1 shows retention times for all predefined windows.</w:t>
      </w:r>
      <w:r w:rsidR="00E20B3D" w:rsidRPr="00821079">
        <w:rPr>
          <w:rFonts w:ascii="Times New Roman" w:eastAsia="ArrusBT-Roman" w:hAnsi="Times New Roman" w:cs="Times New Roman"/>
          <w:color w:val="000000" w:themeColor="text1"/>
        </w:rPr>
        <w:t xml:space="preserve"> Mentzer index was less than 13 in 179 out of 216 cases. Mentzer index is a ratio of mean</w:t>
      </w:r>
      <w:r w:rsidR="00E20B3D" w:rsidRPr="00821079">
        <w:rPr>
          <w:rFonts w:ascii="Times New Roman" w:hAnsi="Times New Roman" w:cs="Times New Roman"/>
          <w:color w:val="000000" w:themeColor="text1"/>
        </w:rPr>
        <w:t xml:space="preserve"> corpuscular volume in fL divided by the </w:t>
      </w:r>
      <w:hyperlink r:id="rId8" w:tooltip="Red blood cell" w:history="1">
        <w:r w:rsidR="00E20B3D" w:rsidRPr="00821079">
          <w:rPr>
            <w:rStyle w:val="Hyperlink"/>
            <w:rFonts w:ascii="Times New Roman" w:hAnsi="Times New Roman" w:cs="Times New Roman"/>
            <w:color w:val="000000" w:themeColor="text1"/>
            <w:u w:val="none"/>
          </w:rPr>
          <w:t>red blood cell</w:t>
        </w:r>
      </w:hyperlink>
      <w:r w:rsidR="00E20B3D" w:rsidRPr="00821079">
        <w:rPr>
          <w:rFonts w:ascii="Times New Roman" w:hAnsi="Times New Roman" w:cs="Times New Roman"/>
          <w:color w:val="000000" w:themeColor="text1"/>
        </w:rPr>
        <w:t xml:space="preserve"> count in Millions per </w:t>
      </w:r>
      <w:r w:rsidR="003660D6" w:rsidRPr="00821079">
        <w:rPr>
          <w:rFonts w:ascii="Times New Roman" w:hAnsi="Times New Roman" w:cs="Times New Roman"/>
          <w:color w:val="000000" w:themeColor="text1"/>
        </w:rPr>
        <w:t>micro Liter</w:t>
      </w:r>
      <w:r w:rsidR="00E20B3D" w:rsidRPr="00821079">
        <w:rPr>
          <w:rFonts w:ascii="Times New Roman" w:hAnsi="Times New Roman" w:cs="Times New Roman"/>
          <w:color w:val="000000" w:themeColor="text1"/>
        </w:rPr>
        <w:t>.</w:t>
      </w:r>
    </w:p>
    <w:p w:rsidR="00AD0467" w:rsidRPr="00821079" w:rsidRDefault="003660D6"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Beta thal</w:t>
      </w:r>
      <w:r w:rsidR="00AD0467" w:rsidRPr="00821079">
        <w:rPr>
          <w:rFonts w:ascii="Times New Roman" w:eastAsia="ArrusBT-Roman" w:hAnsi="Times New Roman" w:cs="Times New Roman"/>
        </w:rPr>
        <w:t>as</w:t>
      </w:r>
      <w:r w:rsidRPr="00821079">
        <w:rPr>
          <w:rFonts w:ascii="Times New Roman" w:eastAsia="ArrusBT-Roman" w:hAnsi="Times New Roman" w:cs="Times New Roman"/>
        </w:rPr>
        <w:t>s</w:t>
      </w:r>
      <w:r w:rsidR="00AD0467" w:rsidRPr="00821079">
        <w:rPr>
          <w:rFonts w:ascii="Times New Roman" w:eastAsia="ArrusBT-Roman" w:hAnsi="Times New Roman" w:cs="Times New Roman"/>
        </w:rPr>
        <w:t>emia major cases were 17(0.83%)</w:t>
      </w:r>
      <w:r w:rsidRPr="00821079">
        <w:rPr>
          <w:rFonts w:ascii="Times New Roman" w:eastAsia="ArrusBT-Roman" w:hAnsi="Times New Roman" w:cs="Times New Roman"/>
        </w:rPr>
        <w:t>. Beta thalas</w:t>
      </w:r>
      <w:r w:rsidR="00AD0467" w:rsidRPr="00821079">
        <w:rPr>
          <w:rFonts w:ascii="Times New Roman" w:eastAsia="ArrusBT-Roman" w:hAnsi="Times New Roman" w:cs="Times New Roman"/>
        </w:rPr>
        <w:t>semia intermedia cases were 4(0.19%). All the thalassemia major cases were first presented in their first two years. Peripheral blood smear findings of these c</w:t>
      </w:r>
      <w:r w:rsidR="00E20B3D" w:rsidRPr="00821079">
        <w:rPr>
          <w:rFonts w:ascii="Times New Roman" w:eastAsia="ArrusBT-Roman" w:hAnsi="Times New Roman" w:cs="Times New Roman"/>
        </w:rPr>
        <w:t xml:space="preserve">ases were severe anemia, severely microcytic and hypochromic red blood cells, moderate to severe anisopoikilocytosis, target cells and nucleated red blood cells. </w:t>
      </w:r>
      <w:r w:rsidR="00AD0467" w:rsidRPr="00821079">
        <w:rPr>
          <w:rFonts w:ascii="Times New Roman" w:eastAsia="ArrusBT-Roman" w:hAnsi="Times New Roman" w:cs="Times New Roman"/>
        </w:rPr>
        <w:t xml:space="preserve"> </w:t>
      </w:r>
    </w:p>
    <w:p w:rsidR="00E20B3D" w:rsidRPr="00821079" w:rsidRDefault="007D5E74"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Sickle cell </w:t>
      </w:r>
      <w:r w:rsidR="003660D6" w:rsidRPr="00821079">
        <w:rPr>
          <w:rFonts w:ascii="Times New Roman" w:eastAsia="ArrusBT-Roman" w:hAnsi="Times New Roman" w:cs="Times New Roman"/>
        </w:rPr>
        <w:t>anemia (</w:t>
      </w:r>
      <w:r w:rsidRPr="00821079">
        <w:rPr>
          <w:rFonts w:ascii="Times New Roman" w:eastAsia="ArrusBT-Roman" w:hAnsi="Times New Roman" w:cs="Times New Roman"/>
        </w:rPr>
        <w:t>homozygous Hb S)</w:t>
      </w:r>
      <w:r w:rsidR="00AE5155" w:rsidRPr="00821079">
        <w:rPr>
          <w:rFonts w:ascii="Times New Roman" w:eastAsia="ArrusBT-Roman" w:hAnsi="Times New Roman" w:cs="Times New Roman"/>
        </w:rPr>
        <w:t xml:space="preserve"> patients had Hb S range from 72</w:t>
      </w:r>
      <w:r w:rsidR="003660D6" w:rsidRPr="00821079">
        <w:rPr>
          <w:rFonts w:ascii="Times New Roman" w:eastAsia="ArrusBT-Roman" w:hAnsi="Times New Roman" w:cs="Times New Roman"/>
        </w:rPr>
        <w:t>-89% and t</w:t>
      </w:r>
      <w:r w:rsidRPr="00821079">
        <w:rPr>
          <w:rFonts w:ascii="Times New Roman" w:eastAsia="ArrusBT-Roman" w:hAnsi="Times New Roman" w:cs="Times New Roman"/>
        </w:rPr>
        <w:t>otal 19 (0.93%) cases were there. Sickle cell trait (heterozygous Hb S) cases were 96(4.71%). Hb S in them was from 32 to 38%</w:t>
      </w:r>
      <w:r w:rsidR="00AE5155" w:rsidRPr="00821079">
        <w:rPr>
          <w:rFonts w:ascii="Times New Roman" w:eastAsia="ArrusBT-Roman" w:hAnsi="Times New Roman" w:cs="Times New Roman"/>
        </w:rPr>
        <w:t>. Double heterozygous for sickle cell-beta thalassemia cases were 14(0.68%)</w:t>
      </w:r>
      <w:r w:rsidR="007166C9" w:rsidRPr="00821079">
        <w:rPr>
          <w:rFonts w:ascii="Times New Roman" w:eastAsia="ArrusBT-Roman" w:hAnsi="Times New Roman" w:cs="Times New Roman"/>
        </w:rPr>
        <w:t xml:space="preserve">. </w:t>
      </w:r>
    </w:p>
    <w:p w:rsidR="00AE5155" w:rsidRPr="00821079" w:rsidRDefault="007166C9"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There were 06 </w:t>
      </w:r>
      <w:r w:rsidR="003660D6" w:rsidRPr="00821079">
        <w:rPr>
          <w:rFonts w:ascii="Times New Roman" w:eastAsia="ArrusBT-Roman" w:hAnsi="Times New Roman" w:cs="Times New Roman"/>
        </w:rPr>
        <w:t>cases (</w:t>
      </w:r>
      <w:r w:rsidRPr="00821079">
        <w:rPr>
          <w:rFonts w:ascii="Times New Roman" w:eastAsia="ArrusBT-Roman" w:hAnsi="Times New Roman" w:cs="Times New Roman"/>
        </w:rPr>
        <w:t>0.29%) of Hb D heterozygous. D window is displayed in HPLC. Retention time was between 4.03 to 4.21 min.</w:t>
      </w:r>
    </w:p>
    <w:p w:rsidR="007166C9" w:rsidRPr="00821079" w:rsidRDefault="007166C9"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There were one each case of Hb E heterozygous and Hb E-beta </w:t>
      </w:r>
      <w:r w:rsidR="003660D6" w:rsidRPr="00821079">
        <w:rPr>
          <w:rFonts w:ascii="Times New Roman" w:eastAsia="ArrusBT-Roman" w:hAnsi="Times New Roman" w:cs="Times New Roman"/>
        </w:rPr>
        <w:t>thalassemia (</w:t>
      </w:r>
      <w:r w:rsidRPr="00821079">
        <w:rPr>
          <w:rFonts w:ascii="Times New Roman" w:eastAsia="ArrusBT-Roman" w:hAnsi="Times New Roman" w:cs="Times New Roman"/>
        </w:rPr>
        <w:t xml:space="preserve">0.04% each). There is a peak of Hb E in A2 region. Retention time was </w:t>
      </w:r>
      <w:r w:rsidR="00FE5A5F" w:rsidRPr="00821079">
        <w:rPr>
          <w:rFonts w:ascii="Times New Roman" w:eastAsia="ArrusBT-Roman" w:hAnsi="Times New Roman" w:cs="Times New Roman"/>
        </w:rPr>
        <w:t>3.58 min.</w:t>
      </w:r>
    </w:p>
    <w:p w:rsidR="00FE5A5F" w:rsidRPr="00821079" w:rsidRDefault="00FE5A5F"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Hb F was raised in 7 adult </w:t>
      </w:r>
      <w:r w:rsidR="003660D6" w:rsidRPr="00821079">
        <w:rPr>
          <w:rFonts w:ascii="Times New Roman" w:eastAsia="ArrusBT-Roman" w:hAnsi="Times New Roman" w:cs="Times New Roman"/>
        </w:rPr>
        <w:t>cases (</w:t>
      </w:r>
      <w:r w:rsidRPr="00821079">
        <w:rPr>
          <w:rFonts w:ascii="Times New Roman" w:eastAsia="ArrusBT-Roman" w:hAnsi="Times New Roman" w:cs="Times New Roman"/>
        </w:rPr>
        <w:t xml:space="preserve">0.34%). Provisional diagnosis of hereditary persistence of fetal Hb was made in each case with an advice for molecular confirmation. </w:t>
      </w:r>
    </w:p>
    <w:p w:rsidR="00DB5A0A" w:rsidRPr="00821079" w:rsidRDefault="00DB5A0A"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Various abnormal hemoglobin defects in our study </w:t>
      </w:r>
      <w:r w:rsidR="003660D6" w:rsidRPr="00821079">
        <w:rPr>
          <w:rFonts w:ascii="Times New Roman" w:eastAsia="ArrusBT-Roman" w:hAnsi="Times New Roman" w:cs="Times New Roman"/>
        </w:rPr>
        <w:t>are</w:t>
      </w:r>
      <w:r w:rsidR="00B60796" w:rsidRPr="00821079">
        <w:rPr>
          <w:rFonts w:ascii="Times New Roman" w:eastAsia="ArrusBT-Roman" w:hAnsi="Times New Roman" w:cs="Times New Roman"/>
        </w:rPr>
        <w:t xml:space="preserve"> shown in table 2 and figure 1</w:t>
      </w:r>
      <w:r w:rsidRPr="00821079">
        <w:rPr>
          <w:rFonts w:ascii="Times New Roman" w:eastAsia="ArrusBT-Roman" w:hAnsi="Times New Roman" w:cs="Times New Roman"/>
        </w:rPr>
        <w:t xml:space="preserve">. </w:t>
      </w:r>
      <w:r w:rsidR="00B60796" w:rsidRPr="00821079">
        <w:rPr>
          <w:rFonts w:ascii="Times New Roman" w:eastAsia="ArrusBT-Roman" w:hAnsi="Times New Roman" w:cs="Times New Roman"/>
        </w:rPr>
        <w:t>Various hematological parameters are shown in table 3.</w:t>
      </w:r>
    </w:p>
    <w:p w:rsidR="00FE5A5F" w:rsidRPr="00821079" w:rsidRDefault="00FE5A5F" w:rsidP="000D3B99">
      <w:pPr>
        <w:autoSpaceDE w:val="0"/>
        <w:autoSpaceDN w:val="0"/>
        <w:adjustRightInd w:val="0"/>
        <w:spacing w:after="0" w:line="240" w:lineRule="auto"/>
        <w:jc w:val="both"/>
        <w:rPr>
          <w:rFonts w:ascii="Times New Roman" w:eastAsia="ArrusBT-Roman" w:hAnsi="Times New Roman" w:cs="Times New Roman"/>
        </w:rPr>
      </w:pPr>
    </w:p>
    <w:p w:rsidR="00DB5A0A" w:rsidRPr="00821079" w:rsidRDefault="003660D6" w:rsidP="00DB5A0A">
      <w:pPr>
        <w:autoSpaceDE w:val="0"/>
        <w:autoSpaceDN w:val="0"/>
        <w:adjustRightInd w:val="0"/>
        <w:spacing w:after="0" w:line="240" w:lineRule="auto"/>
        <w:jc w:val="center"/>
        <w:rPr>
          <w:rFonts w:ascii="Times New Roman" w:eastAsia="ArrusBT-Roman" w:hAnsi="Times New Roman" w:cs="Times New Roman"/>
          <w:b/>
          <w:bCs/>
        </w:rPr>
      </w:pPr>
      <w:r w:rsidRPr="00821079">
        <w:rPr>
          <w:rFonts w:ascii="Times New Roman" w:eastAsia="ArrusBT-Roman" w:hAnsi="Times New Roman" w:cs="Times New Roman"/>
          <w:b/>
          <w:bCs/>
        </w:rPr>
        <w:t>Table 2</w:t>
      </w:r>
      <w:r w:rsidR="00DB5A0A" w:rsidRPr="00821079">
        <w:rPr>
          <w:rFonts w:ascii="Times New Roman" w:eastAsia="ArrusBT-Roman" w:hAnsi="Times New Roman" w:cs="Times New Roman"/>
          <w:b/>
          <w:bCs/>
        </w:rPr>
        <w:t>: Sex wise distribution of hemoglobinopathies</w:t>
      </w:r>
    </w:p>
    <w:p w:rsidR="00DB5A0A" w:rsidRPr="00821079" w:rsidRDefault="00DB5A0A" w:rsidP="00DB5A0A">
      <w:pPr>
        <w:autoSpaceDE w:val="0"/>
        <w:autoSpaceDN w:val="0"/>
        <w:adjustRightInd w:val="0"/>
        <w:spacing w:after="0" w:line="240" w:lineRule="auto"/>
        <w:jc w:val="center"/>
        <w:rPr>
          <w:rFonts w:ascii="Times New Roman" w:eastAsia="ArrusBT-Roman" w:hAnsi="Times New Roman" w:cs="Times New Roman"/>
        </w:rPr>
      </w:pPr>
    </w:p>
    <w:tbl>
      <w:tblPr>
        <w:tblStyle w:val="TableGrid"/>
        <w:tblW w:w="0" w:type="auto"/>
        <w:tblLook w:val="04A0"/>
      </w:tblPr>
      <w:tblGrid>
        <w:gridCol w:w="2394"/>
        <w:gridCol w:w="2394"/>
        <w:gridCol w:w="2394"/>
        <w:gridCol w:w="2394"/>
      </w:tblGrid>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 xml:space="preserve">Hemoglobinopathies </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 xml:space="preserve">Male </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 xml:space="preserve">Female </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Total (percentage)</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Beta thalessemia trait</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119</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97</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216(10.61%)</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Beta thalassemia major</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11</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06</w:t>
            </w:r>
          </w:p>
        </w:tc>
        <w:tc>
          <w:tcPr>
            <w:tcW w:w="2394" w:type="dxa"/>
          </w:tcPr>
          <w:p w:rsidR="00CC1731" w:rsidRPr="00821079" w:rsidRDefault="00CC1731" w:rsidP="00CC1731">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17(0.83%)</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Thalassemia intermedia</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03</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04(0.19%)</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S homozygous</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07</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12</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19(0.93%)</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S heterozygous</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45</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51</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96(4.71%)</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S- beta thalassemia</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08</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06</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14(0.68%)</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D heterozygous</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04</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02</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06(0.29%)</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E heterozygous</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00</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01(0.04%)</w:t>
            </w:r>
          </w:p>
        </w:tc>
      </w:tr>
      <w:tr w:rsidR="00CC1731" w:rsidRPr="00821079" w:rsidTr="00CC1731">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D-beta thalassemia</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02</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00</w:t>
            </w:r>
          </w:p>
        </w:tc>
        <w:tc>
          <w:tcPr>
            <w:tcW w:w="2394" w:type="dxa"/>
          </w:tcPr>
          <w:p w:rsidR="00CC1731" w:rsidRPr="00821079" w:rsidRDefault="00CC1731"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02(0.09%)</w:t>
            </w:r>
          </w:p>
        </w:tc>
      </w:tr>
      <w:tr w:rsidR="00CC1731" w:rsidRPr="00821079" w:rsidTr="00CC1731">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HbS-Hb D</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00</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01(0.04%)</w:t>
            </w:r>
          </w:p>
        </w:tc>
      </w:tr>
      <w:tr w:rsidR="00CC1731" w:rsidRPr="00821079" w:rsidTr="00CC1731">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D-Hb E</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00</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01(0.04%)</w:t>
            </w:r>
          </w:p>
        </w:tc>
      </w:tr>
      <w:tr w:rsidR="00CC1731" w:rsidRPr="00821079" w:rsidTr="00CC1731">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E-beta thallesemia</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00</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w:t>
            </w:r>
          </w:p>
        </w:tc>
        <w:tc>
          <w:tcPr>
            <w:tcW w:w="2394" w:type="dxa"/>
          </w:tcPr>
          <w:p w:rsidR="00CC1731" w:rsidRPr="00821079" w:rsidRDefault="006117DE"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01(0.04%)</w:t>
            </w:r>
          </w:p>
        </w:tc>
      </w:tr>
      <w:tr w:rsidR="00CC1731" w:rsidRPr="00821079" w:rsidTr="00CC1731">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HPFH</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03</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04</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07(0.34%)</w:t>
            </w:r>
          </w:p>
        </w:tc>
      </w:tr>
      <w:tr w:rsidR="00CC1731" w:rsidRPr="00821079" w:rsidTr="00CC1731">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 xml:space="preserve">TOTAL </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203</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183</w:t>
            </w:r>
          </w:p>
        </w:tc>
        <w:tc>
          <w:tcPr>
            <w:tcW w:w="2394" w:type="dxa"/>
          </w:tcPr>
          <w:p w:rsidR="00CC1731" w:rsidRPr="00821079" w:rsidRDefault="00321462" w:rsidP="00DB5A0A">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386(18.96%)</w:t>
            </w:r>
          </w:p>
        </w:tc>
      </w:tr>
    </w:tbl>
    <w:p w:rsidR="00DB5A0A" w:rsidRPr="00821079" w:rsidRDefault="00DB5A0A" w:rsidP="000D3B99">
      <w:pPr>
        <w:autoSpaceDE w:val="0"/>
        <w:autoSpaceDN w:val="0"/>
        <w:adjustRightInd w:val="0"/>
        <w:spacing w:after="0" w:line="240" w:lineRule="auto"/>
        <w:jc w:val="both"/>
        <w:rPr>
          <w:rFonts w:ascii="Times New Roman" w:eastAsia="ArrusBT-Roman" w:hAnsi="Times New Roman" w:cs="Times New Roman"/>
        </w:rPr>
      </w:pPr>
    </w:p>
    <w:p w:rsidR="00DB5A0A" w:rsidRPr="00821079" w:rsidRDefault="00B60796" w:rsidP="00321462">
      <w:pPr>
        <w:autoSpaceDE w:val="0"/>
        <w:autoSpaceDN w:val="0"/>
        <w:adjustRightInd w:val="0"/>
        <w:spacing w:after="0" w:line="240" w:lineRule="auto"/>
        <w:jc w:val="center"/>
        <w:rPr>
          <w:rFonts w:ascii="Times New Roman" w:eastAsia="ArrusBT-Roman" w:hAnsi="Times New Roman" w:cs="Times New Roman"/>
          <w:b/>
          <w:bCs/>
        </w:rPr>
      </w:pPr>
      <w:r w:rsidRPr="00821079">
        <w:rPr>
          <w:rFonts w:ascii="Times New Roman" w:eastAsia="ArrusBT-Roman" w:hAnsi="Times New Roman" w:cs="Times New Roman"/>
          <w:b/>
          <w:bCs/>
        </w:rPr>
        <w:t>Table 3</w:t>
      </w:r>
      <w:r w:rsidR="009C73CD" w:rsidRPr="00821079">
        <w:rPr>
          <w:rFonts w:ascii="Times New Roman" w:eastAsia="ArrusBT-Roman" w:hAnsi="Times New Roman" w:cs="Times New Roman"/>
          <w:b/>
          <w:bCs/>
        </w:rPr>
        <w:t>: H</w:t>
      </w:r>
      <w:r w:rsidR="00321462" w:rsidRPr="00821079">
        <w:rPr>
          <w:rFonts w:ascii="Times New Roman" w:eastAsia="ArrusBT-Roman" w:hAnsi="Times New Roman" w:cs="Times New Roman"/>
          <w:b/>
          <w:bCs/>
        </w:rPr>
        <w:t>ematological parameters of normal and different hemoglobinopathies</w:t>
      </w:r>
    </w:p>
    <w:p w:rsidR="006443AF" w:rsidRPr="00821079" w:rsidRDefault="006443AF" w:rsidP="00B60796">
      <w:pPr>
        <w:autoSpaceDE w:val="0"/>
        <w:autoSpaceDN w:val="0"/>
        <w:adjustRightInd w:val="0"/>
        <w:spacing w:after="0" w:line="240" w:lineRule="auto"/>
        <w:rPr>
          <w:rFonts w:ascii="Times New Roman" w:eastAsia="ArrusBT-Roman" w:hAnsi="Times New Roman" w:cs="Times New Roman"/>
        </w:rPr>
      </w:pPr>
    </w:p>
    <w:tbl>
      <w:tblPr>
        <w:tblStyle w:val="TableGrid"/>
        <w:tblW w:w="10074" w:type="dxa"/>
        <w:tblLook w:val="04A0"/>
      </w:tblPr>
      <w:tblGrid>
        <w:gridCol w:w="1218"/>
        <w:gridCol w:w="1217"/>
        <w:gridCol w:w="1107"/>
        <w:gridCol w:w="1107"/>
        <w:gridCol w:w="1107"/>
        <w:gridCol w:w="997"/>
        <w:gridCol w:w="1107"/>
        <w:gridCol w:w="1217"/>
        <w:gridCol w:w="997"/>
      </w:tblGrid>
      <w:tr w:rsidR="00045B0E" w:rsidRPr="00821079" w:rsidTr="00D8537D">
        <w:tc>
          <w:tcPr>
            <w:tcW w:w="1218" w:type="dxa"/>
          </w:tcPr>
          <w:p w:rsidR="006443AF" w:rsidRPr="00821079" w:rsidRDefault="006443AF" w:rsidP="005A4AEE">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 xml:space="preserve">Parameter </w:t>
            </w:r>
          </w:p>
        </w:tc>
        <w:tc>
          <w:tcPr>
            <w:tcW w:w="121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Normal</w:t>
            </w:r>
          </w:p>
        </w:tc>
        <w:tc>
          <w:tcPr>
            <w:tcW w:w="110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BTT</w:t>
            </w:r>
          </w:p>
        </w:tc>
        <w:tc>
          <w:tcPr>
            <w:tcW w:w="110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Thal major</w:t>
            </w:r>
          </w:p>
        </w:tc>
        <w:tc>
          <w:tcPr>
            <w:tcW w:w="110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Hb S Homo.</w:t>
            </w:r>
          </w:p>
        </w:tc>
        <w:tc>
          <w:tcPr>
            <w:tcW w:w="99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Hb S Hetero.</w:t>
            </w:r>
          </w:p>
        </w:tc>
        <w:tc>
          <w:tcPr>
            <w:tcW w:w="1107" w:type="dxa"/>
          </w:tcPr>
          <w:p w:rsidR="006443AF" w:rsidRPr="00821079" w:rsidRDefault="00045B0E" w:rsidP="00045B0E">
            <w:pPr>
              <w:autoSpaceDE w:val="0"/>
              <w:autoSpaceDN w:val="0"/>
              <w:adjustRightInd w:val="0"/>
              <w:rPr>
                <w:rFonts w:ascii="Times New Roman" w:eastAsia="ArrusBT-Roman" w:hAnsi="Times New Roman" w:cs="Times New Roman"/>
                <w:b/>
                <w:bCs/>
              </w:rPr>
            </w:pPr>
            <w:r w:rsidRPr="00821079">
              <w:rPr>
                <w:rFonts w:ascii="Times New Roman" w:eastAsia="ArrusBT-Roman" w:hAnsi="Times New Roman" w:cs="Times New Roman"/>
                <w:b/>
                <w:bCs/>
              </w:rPr>
              <w:t>Sickle-  ß t</w:t>
            </w:r>
            <w:r w:rsidR="006443AF" w:rsidRPr="00821079">
              <w:rPr>
                <w:rFonts w:ascii="Times New Roman" w:eastAsia="ArrusBT-Roman" w:hAnsi="Times New Roman" w:cs="Times New Roman"/>
                <w:b/>
                <w:bCs/>
              </w:rPr>
              <w:t>hal</w:t>
            </w:r>
          </w:p>
        </w:tc>
        <w:tc>
          <w:tcPr>
            <w:tcW w:w="121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Hb D hetero</w:t>
            </w:r>
            <w:r w:rsidR="00045B0E" w:rsidRPr="00821079">
              <w:rPr>
                <w:rFonts w:ascii="Times New Roman" w:eastAsia="ArrusBT-Roman" w:hAnsi="Times New Roman" w:cs="Times New Roman"/>
                <w:b/>
                <w:bCs/>
              </w:rPr>
              <w:t>.</w:t>
            </w:r>
          </w:p>
        </w:tc>
        <w:tc>
          <w:tcPr>
            <w:tcW w:w="997" w:type="dxa"/>
          </w:tcPr>
          <w:p w:rsidR="006443AF" w:rsidRPr="00821079" w:rsidRDefault="006443AF" w:rsidP="00B067C4">
            <w:pPr>
              <w:autoSpaceDE w:val="0"/>
              <w:autoSpaceDN w:val="0"/>
              <w:adjustRightInd w:val="0"/>
              <w:jc w:val="center"/>
              <w:rPr>
                <w:rFonts w:ascii="Times New Roman" w:eastAsia="ArrusBT-Roman" w:hAnsi="Times New Roman" w:cs="Times New Roman"/>
                <w:b/>
                <w:bCs/>
              </w:rPr>
            </w:pPr>
            <w:r w:rsidRPr="00821079">
              <w:rPr>
                <w:rFonts w:ascii="Times New Roman" w:eastAsia="ArrusBT-Roman" w:hAnsi="Times New Roman" w:cs="Times New Roman"/>
                <w:b/>
                <w:bCs/>
              </w:rPr>
              <w:t>HPFH</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Hb(g/dl)</w:t>
            </w:r>
          </w:p>
        </w:tc>
        <w:tc>
          <w:tcPr>
            <w:tcW w:w="1217" w:type="dxa"/>
          </w:tcPr>
          <w:p w:rsidR="00B067C4" w:rsidRPr="00821079" w:rsidRDefault="005A4AEE" w:rsidP="00B067C4">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10.6</w:t>
            </w:r>
            <w:r w:rsidR="00B067C4" w:rsidRPr="00821079">
              <w:rPr>
                <w:rFonts w:ascii="Times New Roman" w:eastAsia="ArrusBT-Roman" w:hAnsi="Times New Roman" w:cs="Times New Roman"/>
              </w:rPr>
              <w:t>±2.9</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10.2</w:t>
            </w:r>
            <w:r w:rsidR="00B067C4" w:rsidRPr="00821079">
              <w:rPr>
                <w:rFonts w:ascii="Times New Roman" w:eastAsia="ArrusBT-Roman" w:hAnsi="Times New Roman" w:cs="Times New Roman"/>
              </w:rPr>
              <w:t>±</w:t>
            </w:r>
            <w:r w:rsidRPr="00821079">
              <w:rPr>
                <w:rFonts w:ascii="Times New Roman" w:eastAsia="ArrusBT-Roman" w:hAnsi="Times New Roman" w:cs="Times New Roman"/>
              </w:rPr>
              <w:t>2.4</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4.86</w:t>
            </w:r>
            <w:r w:rsidR="00B067C4" w:rsidRPr="00821079">
              <w:rPr>
                <w:rFonts w:ascii="Times New Roman" w:eastAsia="ArrusBT-Roman" w:hAnsi="Times New Roman" w:cs="Times New Roman"/>
              </w:rPr>
              <w:t>±</w:t>
            </w:r>
            <w:r w:rsidRPr="00821079">
              <w:rPr>
                <w:rFonts w:ascii="Times New Roman" w:eastAsia="ArrusBT-Roman" w:hAnsi="Times New Roman" w:cs="Times New Roman"/>
              </w:rPr>
              <w:t>2.23</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6.38</w:t>
            </w:r>
            <w:r w:rsidR="00B067C4" w:rsidRPr="00821079">
              <w:rPr>
                <w:rFonts w:ascii="Times New Roman" w:eastAsia="ArrusBT-Roman" w:hAnsi="Times New Roman" w:cs="Times New Roman"/>
              </w:rPr>
              <w:t>±</w:t>
            </w:r>
            <w:r w:rsidRPr="00821079">
              <w:rPr>
                <w:rFonts w:ascii="Times New Roman" w:eastAsia="ArrusBT-Roman" w:hAnsi="Times New Roman" w:cs="Times New Roman"/>
              </w:rPr>
              <w:t>2.1</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10.1</w:t>
            </w:r>
            <w:r w:rsidR="00B067C4" w:rsidRPr="00821079">
              <w:rPr>
                <w:rFonts w:ascii="Times New Roman" w:eastAsia="ArrusBT-Roman" w:hAnsi="Times New Roman" w:cs="Times New Roman"/>
              </w:rPr>
              <w:t>±</w:t>
            </w:r>
            <w:r w:rsidRPr="00821079">
              <w:rPr>
                <w:rFonts w:ascii="Times New Roman" w:eastAsia="ArrusBT-Roman" w:hAnsi="Times New Roman" w:cs="Times New Roman"/>
              </w:rPr>
              <w:t>2.9</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7.68</w:t>
            </w:r>
            <w:r w:rsidR="00B067C4" w:rsidRPr="00821079">
              <w:rPr>
                <w:rFonts w:ascii="Times New Roman" w:eastAsia="ArrusBT-Roman" w:hAnsi="Times New Roman" w:cs="Times New Roman"/>
              </w:rPr>
              <w:t>±</w:t>
            </w:r>
            <w:r w:rsidRPr="00821079">
              <w:rPr>
                <w:rFonts w:ascii="Times New Roman" w:eastAsia="ArrusBT-Roman" w:hAnsi="Times New Roman" w:cs="Times New Roman"/>
              </w:rPr>
              <w:t>2.3</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10.9</w:t>
            </w:r>
            <w:r w:rsidR="00B067C4" w:rsidRPr="00821079">
              <w:rPr>
                <w:rFonts w:ascii="Times New Roman" w:eastAsia="ArrusBT-Roman" w:hAnsi="Times New Roman" w:cs="Times New Roman"/>
              </w:rPr>
              <w:t>±</w:t>
            </w:r>
            <w:r w:rsidRPr="00821079">
              <w:rPr>
                <w:rFonts w:ascii="Times New Roman" w:eastAsia="ArrusBT-Roman" w:hAnsi="Times New Roman" w:cs="Times New Roman"/>
              </w:rPr>
              <w:t>2.9</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12.3</w:t>
            </w:r>
            <w:r w:rsidR="00B067C4" w:rsidRPr="00821079">
              <w:rPr>
                <w:rFonts w:ascii="Times New Roman" w:eastAsia="ArrusBT-Roman" w:hAnsi="Times New Roman" w:cs="Times New Roman"/>
              </w:rPr>
              <w:t>±</w:t>
            </w:r>
            <w:r w:rsidRPr="00821079">
              <w:rPr>
                <w:rFonts w:ascii="Times New Roman" w:eastAsia="ArrusBT-Roman" w:hAnsi="Times New Roman" w:cs="Times New Roman"/>
              </w:rPr>
              <w:t>2.8</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RBC</w:t>
            </w:r>
          </w:p>
        </w:tc>
        <w:tc>
          <w:tcPr>
            <w:tcW w:w="1217" w:type="dxa"/>
          </w:tcPr>
          <w:p w:rsidR="00B067C4" w:rsidRPr="00821079" w:rsidRDefault="00B067C4" w:rsidP="00B067C4">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4.55±0.9</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5.62</w:t>
            </w:r>
            <w:r w:rsidR="00B067C4" w:rsidRPr="00821079">
              <w:rPr>
                <w:rFonts w:ascii="Times New Roman" w:eastAsia="ArrusBT-Roman" w:hAnsi="Times New Roman" w:cs="Times New Roman"/>
              </w:rPr>
              <w:t>±</w:t>
            </w:r>
            <w:r w:rsidRPr="00821079">
              <w:rPr>
                <w:rFonts w:ascii="Times New Roman" w:eastAsia="ArrusBT-Roman" w:hAnsi="Times New Roman" w:cs="Times New Roman"/>
              </w:rPr>
              <w:t>0.82</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2.36</w:t>
            </w:r>
            <w:r w:rsidR="00B067C4" w:rsidRPr="00821079">
              <w:rPr>
                <w:rFonts w:ascii="Times New Roman" w:eastAsia="ArrusBT-Roman" w:hAnsi="Times New Roman" w:cs="Times New Roman"/>
              </w:rPr>
              <w:t>±</w:t>
            </w:r>
            <w:r w:rsidRPr="00821079">
              <w:rPr>
                <w:rFonts w:ascii="Times New Roman" w:eastAsia="ArrusBT-Roman" w:hAnsi="Times New Roman" w:cs="Times New Roman"/>
              </w:rPr>
              <w:t>1.32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3.26</w:t>
            </w:r>
            <w:r w:rsidR="00B067C4" w:rsidRPr="00821079">
              <w:rPr>
                <w:rFonts w:ascii="Times New Roman" w:eastAsia="ArrusBT-Roman" w:hAnsi="Times New Roman" w:cs="Times New Roman"/>
              </w:rPr>
              <w:t>±</w:t>
            </w:r>
            <w:r w:rsidRPr="00821079">
              <w:rPr>
                <w:rFonts w:ascii="Times New Roman" w:eastAsia="ArrusBT-Roman" w:hAnsi="Times New Roman" w:cs="Times New Roman"/>
              </w:rPr>
              <w:t>0.8</w:t>
            </w:r>
          </w:p>
        </w:tc>
        <w:tc>
          <w:tcPr>
            <w:tcW w:w="99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4.2</w:t>
            </w:r>
            <w:r w:rsidR="00B067C4" w:rsidRPr="00821079">
              <w:rPr>
                <w:rFonts w:ascii="Times New Roman" w:eastAsia="ArrusBT-Roman" w:hAnsi="Times New Roman" w:cs="Times New Roman"/>
              </w:rPr>
              <w:t>±</w:t>
            </w:r>
            <w:r w:rsidR="005A24B5" w:rsidRPr="00821079">
              <w:rPr>
                <w:rFonts w:ascii="Times New Roman" w:eastAsia="ArrusBT-Roman" w:hAnsi="Times New Roman" w:cs="Times New Roman"/>
              </w:rPr>
              <w:t>0.36</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3.86</w:t>
            </w:r>
            <w:r w:rsidR="00B067C4" w:rsidRPr="00821079">
              <w:rPr>
                <w:rFonts w:ascii="Times New Roman" w:eastAsia="ArrusBT-Roman" w:hAnsi="Times New Roman" w:cs="Times New Roman"/>
              </w:rPr>
              <w:t>±</w:t>
            </w:r>
            <w:r w:rsidRPr="00821079">
              <w:rPr>
                <w:rFonts w:ascii="Times New Roman" w:eastAsia="ArrusBT-Roman" w:hAnsi="Times New Roman" w:cs="Times New Roman"/>
              </w:rPr>
              <w:t>1.0</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4.7</w:t>
            </w:r>
            <w:r w:rsidR="00B067C4" w:rsidRPr="00821079">
              <w:rPr>
                <w:rFonts w:ascii="Times New Roman" w:eastAsia="ArrusBT-Roman" w:hAnsi="Times New Roman" w:cs="Times New Roman"/>
              </w:rPr>
              <w:t>±</w:t>
            </w:r>
            <w:r w:rsidRPr="00821079">
              <w:rPr>
                <w:rFonts w:ascii="Times New Roman" w:eastAsia="ArrusBT-Roman" w:hAnsi="Times New Roman" w:cs="Times New Roman"/>
              </w:rPr>
              <w:t>1.25</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4.6</w:t>
            </w:r>
            <w:r w:rsidR="00B067C4" w:rsidRPr="00821079">
              <w:rPr>
                <w:rFonts w:ascii="Times New Roman" w:eastAsia="ArrusBT-Roman" w:hAnsi="Times New Roman" w:cs="Times New Roman"/>
              </w:rPr>
              <w:t>±</w:t>
            </w:r>
            <w:r w:rsidRPr="00821079">
              <w:rPr>
                <w:rFonts w:ascii="Times New Roman" w:eastAsia="ArrusBT-Roman" w:hAnsi="Times New Roman" w:cs="Times New Roman"/>
              </w:rPr>
              <w:t>0.9</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lastRenderedPageBreak/>
              <w:t>PCV</w:t>
            </w:r>
          </w:p>
        </w:tc>
        <w:tc>
          <w:tcPr>
            <w:tcW w:w="1217" w:type="dxa"/>
          </w:tcPr>
          <w:p w:rsidR="00B067C4" w:rsidRPr="00821079" w:rsidRDefault="005A4AEE" w:rsidP="00B067C4">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31</w:t>
            </w:r>
            <w:r w:rsidR="00B067C4" w:rsidRPr="00821079">
              <w:rPr>
                <w:rFonts w:ascii="Times New Roman" w:eastAsia="ArrusBT-Roman" w:hAnsi="Times New Roman" w:cs="Times New Roman"/>
              </w:rPr>
              <w:t>.4±</w:t>
            </w:r>
            <w:r w:rsidR="007717BA" w:rsidRPr="00821079">
              <w:rPr>
                <w:rFonts w:ascii="Times New Roman" w:eastAsia="ArrusBT-Roman" w:hAnsi="Times New Roman" w:cs="Times New Roman"/>
              </w:rPr>
              <w:t>4.7</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30.4</w:t>
            </w:r>
            <w:r w:rsidR="00B067C4" w:rsidRPr="00821079">
              <w:rPr>
                <w:rFonts w:ascii="Times New Roman" w:eastAsia="ArrusBT-Roman" w:hAnsi="Times New Roman" w:cs="Times New Roman"/>
              </w:rPr>
              <w:t>±</w:t>
            </w:r>
            <w:r w:rsidR="007717BA" w:rsidRPr="00821079">
              <w:rPr>
                <w:rFonts w:ascii="Times New Roman" w:eastAsia="ArrusBT-Roman" w:hAnsi="Times New Roman" w:cs="Times New Roman"/>
              </w:rPr>
              <w:t>3</w:t>
            </w:r>
            <w:r w:rsidRPr="00821079">
              <w:rPr>
                <w:rFonts w:ascii="Times New Roman" w:eastAsia="ArrusBT-Roman" w:hAnsi="Times New Roman" w:cs="Times New Roman"/>
              </w:rPr>
              <w:t>.</w:t>
            </w:r>
            <w:r w:rsidR="007717BA" w:rsidRPr="00821079">
              <w:rPr>
                <w:rFonts w:ascii="Times New Roman" w:eastAsia="ArrusBT-Roman" w:hAnsi="Times New Roman" w:cs="Times New Roman"/>
              </w:rPr>
              <w:t>62</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15.2</w:t>
            </w:r>
            <w:r w:rsidR="00B067C4" w:rsidRPr="00821079">
              <w:rPr>
                <w:rFonts w:ascii="Times New Roman" w:eastAsia="ArrusBT-Roman" w:hAnsi="Times New Roman" w:cs="Times New Roman"/>
              </w:rPr>
              <w:t>±</w:t>
            </w:r>
            <w:r w:rsidR="007717BA" w:rsidRPr="00821079">
              <w:rPr>
                <w:rFonts w:ascii="Times New Roman" w:eastAsia="ArrusBT-Roman" w:hAnsi="Times New Roman" w:cs="Times New Roman"/>
              </w:rPr>
              <w:t>2.91</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21.2</w:t>
            </w:r>
            <w:r w:rsidR="00B067C4" w:rsidRPr="00821079">
              <w:rPr>
                <w:rFonts w:ascii="Times New Roman" w:eastAsia="ArrusBT-Roman" w:hAnsi="Times New Roman" w:cs="Times New Roman"/>
              </w:rPr>
              <w:t>±</w:t>
            </w:r>
            <w:r w:rsidRPr="00821079">
              <w:rPr>
                <w:rFonts w:ascii="Times New Roman" w:eastAsia="ArrusBT-Roman" w:hAnsi="Times New Roman" w:cs="Times New Roman"/>
              </w:rPr>
              <w:t>5.23</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30.6</w:t>
            </w:r>
            <w:r w:rsidR="00B067C4" w:rsidRPr="00821079">
              <w:rPr>
                <w:rFonts w:ascii="Times New Roman" w:eastAsia="ArrusBT-Roman" w:hAnsi="Times New Roman" w:cs="Times New Roman"/>
              </w:rPr>
              <w:t>±</w:t>
            </w:r>
            <w:r w:rsidRPr="00821079">
              <w:rPr>
                <w:rFonts w:ascii="Times New Roman" w:eastAsia="ArrusBT-Roman" w:hAnsi="Times New Roman" w:cs="Times New Roman"/>
              </w:rPr>
              <w:t>7.1</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24.1</w:t>
            </w:r>
            <w:r w:rsidR="00B067C4" w:rsidRPr="00821079">
              <w:rPr>
                <w:rFonts w:ascii="Times New Roman" w:eastAsia="ArrusBT-Roman" w:hAnsi="Times New Roman" w:cs="Times New Roman"/>
              </w:rPr>
              <w:t>±</w:t>
            </w:r>
            <w:r w:rsidRPr="00821079">
              <w:rPr>
                <w:rFonts w:ascii="Times New Roman" w:eastAsia="ArrusBT-Roman" w:hAnsi="Times New Roman" w:cs="Times New Roman"/>
              </w:rPr>
              <w:t>7.3</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35.9</w:t>
            </w:r>
            <w:r w:rsidR="00B067C4" w:rsidRPr="00821079">
              <w:rPr>
                <w:rFonts w:ascii="Times New Roman" w:eastAsia="ArrusBT-Roman" w:hAnsi="Times New Roman" w:cs="Times New Roman"/>
              </w:rPr>
              <w:t>±</w:t>
            </w:r>
            <w:r w:rsidRPr="00821079">
              <w:rPr>
                <w:rFonts w:ascii="Times New Roman" w:eastAsia="ArrusBT-Roman" w:hAnsi="Times New Roman" w:cs="Times New Roman"/>
              </w:rPr>
              <w:t>10.8</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39.1</w:t>
            </w:r>
            <w:r w:rsidR="00B067C4" w:rsidRPr="00821079">
              <w:rPr>
                <w:rFonts w:ascii="Times New Roman" w:eastAsia="ArrusBT-Roman" w:hAnsi="Times New Roman" w:cs="Times New Roman"/>
              </w:rPr>
              <w:t>±</w:t>
            </w:r>
            <w:r w:rsidRPr="00821079">
              <w:rPr>
                <w:rFonts w:ascii="Times New Roman" w:eastAsia="ArrusBT-Roman" w:hAnsi="Times New Roman" w:cs="Times New Roman"/>
              </w:rPr>
              <w:t>4.5</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MCV</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76.7±12.71</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59.91</w:t>
            </w:r>
            <w:r w:rsidR="00B067C4" w:rsidRPr="00821079">
              <w:rPr>
                <w:rFonts w:ascii="Times New Roman" w:eastAsia="ArrusBT-Roman" w:hAnsi="Times New Roman" w:cs="Times New Roman"/>
              </w:rPr>
              <w:t>±</w:t>
            </w:r>
            <w:r w:rsidRPr="00821079">
              <w:rPr>
                <w:rFonts w:ascii="Times New Roman" w:eastAsia="ArrusBT-Roman" w:hAnsi="Times New Roman" w:cs="Times New Roman"/>
              </w:rPr>
              <w:t>7.1</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61.9</w:t>
            </w:r>
            <w:r w:rsidR="00B067C4" w:rsidRPr="00821079">
              <w:rPr>
                <w:rFonts w:ascii="Times New Roman" w:eastAsia="ArrusBT-Roman" w:hAnsi="Times New Roman" w:cs="Times New Roman"/>
              </w:rPr>
              <w:t>±</w:t>
            </w:r>
            <w:r w:rsidRPr="00821079">
              <w:rPr>
                <w:rFonts w:ascii="Times New Roman" w:eastAsia="ArrusBT-Roman" w:hAnsi="Times New Roman" w:cs="Times New Roman"/>
              </w:rPr>
              <w:t>7.2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76.1</w:t>
            </w:r>
            <w:r w:rsidR="00B067C4" w:rsidRPr="00821079">
              <w:rPr>
                <w:rFonts w:ascii="Times New Roman" w:eastAsia="ArrusBT-Roman" w:hAnsi="Times New Roman" w:cs="Times New Roman"/>
              </w:rPr>
              <w:t>±</w:t>
            </w:r>
            <w:r w:rsidRPr="00821079">
              <w:rPr>
                <w:rFonts w:ascii="Times New Roman" w:eastAsia="ArrusBT-Roman" w:hAnsi="Times New Roman" w:cs="Times New Roman"/>
              </w:rPr>
              <w:t>8.6</w:t>
            </w:r>
          </w:p>
        </w:tc>
        <w:tc>
          <w:tcPr>
            <w:tcW w:w="99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70.6</w:t>
            </w:r>
            <w:r w:rsidR="00B067C4" w:rsidRPr="00821079">
              <w:rPr>
                <w:rFonts w:ascii="Times New Roman" w:eastAsia="ArrusBT-Roman" w:hAnsi="Times New Roman" w:cs="Times New Roman"/>
              </w:rPr>
              <w:t>±</w:t>
            </w:r>
            <w:r w:rsidR="005A24B5" w:rsidRPr="00821079">
              <w:rPr>
                <w:rFonts w:ascii="Times New Roman" w:eastAsia="ArrusBT-Roman" w:hAnsi="Times New Roman" w:cs="Times New Roman"/>
              </w:rPr>
              <w:t>5.1</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70.4</w:t>
            </w:r>
            <w:r w:rsidR="00B067C4" w:rsidRPr="00821079">
              <w:rPr>
                <w:rFonts w:ascii="Times New Roman" w:eastAsia="ArrusBT-Roman" w:hAnsi="Times New Roman" w:cs="Times New Roman"/>
              </w:rPr>
              <w:t>±</w:t>
            </w:r>
            <w:r w:rsidRPr="00821079">
              <w:rPr>
                <w:rFonts w:ascii="Times New Roman" w:eastAsia="ArrusBT-Roman" w:hAnsi="Times New Roman" w:cs="Times New Roman"/>
              </w:rPr>
              <w:t>6.34</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75.5</w:t>
            </w:r>
            <w:r w:rsidR="00B067C4" w:rsidRPr="00821079">
              <w:rPr>
                <w:rFonts w:ascii="Times New Roman" w:eastAsia="ArrusBT-Roman" w:hAnsi="Times New Roman" w:cs="Times New Roman"/>
              </w:rPr>
              <w:t>±</w:t>
            </w:r>
            <w:r w:rsidRPr="00821079">
              <w:rPr>
                <w:rFonts w:ascii="Times New Roman" w:eastAsia="ArrusBT-Roman" w:hAnsi="Times New Roman" w:cs="Times New Roman"/>
              </w:rPr>
              <w:t>20.4</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81.1</w:t>
            </w:r>
            <w:r w:rsidR="00B067C4" w:rsidRPr="00821079">
              <w:rPr>
                <w:rFonts w:ascii="Times New Roman" w:eastAsia="ArrusBT-Roman" w:hAnsi="Times New Roman" w:cs="Times New Roman"/>
              </w:rPr>
              <w:t>±</w:t>
            </w:r>
            <w:r w:rsidRPr="00821079">
              <w:rPr>
                <w:rFonts w:ascii="Times New Roman" w:eastAsia="ArrusBT-Roman" w:hAnsi="Times New Roman" w:cs="Times New Roman"/>
              </w:rPr>
              <w:t>7.5</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MCH</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26.4±3.85</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20.3</w:t>
            </w:r>
            <w:r w:rsidR="00B067C4" w:rsidRPr="00821079">
              <w:rPr>
                <w:rFonts w:ascii="Times New Roman" w:eastAsia="ArrusBT-Roman" w:hAnsi="Times New Roman" w:cs="Times New Roman"/>
              </w:rPr>
              <w:t>±</w:t>
            </w:r>
            <w:r w:rsidRPr="00821079">
              <w:rPr>
                <w:rFonts w:ascii="Times New Roman" w:eastAsia="ArrusBT-Roman" w:hAnsi="Times New Roman" w:cs="Times New Roman"/>
              </w:rPr>
              <w:t>2.58</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21.62</w:t>
            </w:r>
            <w:r w:rsidR="00B067C4" w:rsidRPr="00821079">
              <w:rPr>
                <w:rFonts w:ascii="Times New Roman" w:eastAsia="ArrusBT-Roman" w:hAnsi="Times New Roman" w:cs="Times New Roman"/>
              </w:rPr>
              <w:t>±</w:t>
            </w:r>
            <w:r w:rsidRPr="00821079">
              <w:rPr>
                <w:rFonts w:ascii="Times New Roman" w:eastAsia="ArrusBT-Roman" w:hAnsi="Times New Roman" w:cs="Times New Roman"/>
              </w:rPr>
              <w:t>4.2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24.7</w:t>
            </w:r>
            <w:r w:rsidR="00B067C4" w:rsidRPr="00821079">
              <w:rPr>
                <w:rFonts w:ascii="Times New Roman" w:eastAsia="ArrusBT-Roman" w:hAnsi="Times New Roman" w:cs="Times New Roman"/>
              </w:rPr>
              <w:t>±</w:t>
            </w:r>
            <w:r w:rsidRPr="00821079">
              <w:rPr>
                <w:rFonts w:ascii="Times New Roman" w:eastAsia="ArrusBT-Roman" w:hAnsi="Times New Roman" w:cs="Times New Roman"/>
              </w:rPr>
              <w:t>3.2</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21.6</w:t>
            </w:r>
            <w:r w:rsidR="00B067C4" w:rsidRPr="00821079">
              <w:rPr>
                <w:rFonts w:ascii="Times New Roman" w:eastAsia="ArrusBT-Roman" w:hAnsi="Times New Roman" w:cs="Times New Roman"/>
              </w:rPr>
              <w:t>±</w:t>
            </w:r>
            <w:r w:rsidRPr="00821079">
              <w:rPr>
                <w:rFonts w:ascii="Times New Roman" w:eastAsia="ArrusBT-Roman" w:hAnsi="Times New Roman" w:cs="Times New Roman"/>
              </w:rPr>
              <w:t>4.0</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23.4</w:t>
            </w:r>
            <w:r w:rsidR="00B067C4" w:rsidRPr="00821079">
              <w:rPr>
                <w:rFonts w:ascii="Times New Roman" w:eastAsia="ArrusBT-Roman" w:hAnsi="Times New Roman" w:cs="Times New Roman"/>
              </w:rPr>
              <w:t>±</w:t>
            </w:r>
            <w:r w:rsidRPr="00821079">
              <w:rPr>
                <w:rFonts w:ascii="Times New Roman" w:eastAsia="ArrusBT-Roman" w:hAnsi="Times New Roman" w:cs="Times New Roman"/>
              </w:rPr>
              <w:t>2.1</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24.7</w:t>
            </w:r>
            <w:r w:rsidR="00B067C4" w:rsidRPr="00821079">
              <w:rPr>
                <w:rFonts w:ascii="Times New Roman" w:eastAsia="ArrusBT-Roman" w:hAnsi="Times New Roman" w:cs="Times New Roman"/>
              </w:rPr>
              <w:t>±</w:t>
            </w:r>
            <w:r w:rsidRPr="00821079">
              <w:rPr>
                <w:rFonts w:ascii="Times New Roman" w:eastAsia="ArrusBT-Roman" w:hAnsi="Times New Roman" w:cs="Times New Roman"/>
              </w:rPr>
              <w:t>4.1</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25.6</w:t>
            </w:r>
            <w:r w:rsidR="00B067C4" w:rsidRPr="00821079">
              <w:rPr>
                <w:rFonts w:ascii="Times New Roman" w:eastAsia="ArrusBT-Roman" w:hAnsi="Times New Roman" w:cs="Times New Roman"/>
              </w:rPr>
              <w:t>±</w:t>
            </w:r>
            <w:r w:rsidRPr="00821079">
              <w:rPr>
                <w:rFonts w:ascii="Times New Roman" w:eastAsia="ArrusBT-Roman" w:hAnsi="Times New Roman" w:cs="Times New Roman"/>
              </w:rPr>
              <w:t>3.4</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MCHC</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31.21±2.1</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30.4</w:t>
            </w:r>
            <w:r w:rsidR="00B067C4" w:rsidRPr="00821079">
              <w:rPr>
                <w:rFonts w:ascii="Times New Roman" w:eastAsia="ArrusBT-Roman" w:hAnsi="Times New Roman" w:cs="Times New Roman"/>
              </w:rPr>
              <w:t>±</w:t>
            </w:r>
            <w:r w:rsidRPr="00821079">
              <w:rPr>
                <w:rFonts w:ascii="Times New Roman" w:eastAsia="ArrusBT-Roman" w:hAnsi="Times New Roman" w:cs="Times New Roman"/>
              </w:rPr>
              <w:t>1.98</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31.1</w:t>
            </w:r>
            <w:r w:rsidR="00B067C4" w:rsidRPr="00821079">
              <w:rPr>
                <w:rFonts w:ascii="Times New Roman" w:eastAsia="ArrusBT-Roman" w:hAnsi="Times New Roman" w:cs="Times New Roman"/>
              </w:rPr>
              <w:t>±</w:t>
            </w:r>
            <w:r w:rsidRPr="00821079">
              <w:rPr>
                <w:rFonts w:ascii="Times New Roman" w:eastAsia="ArrusBT-Roman" w:hAnsi="Times New Roman" w:cs="Times New Roman"/>
              </w:rPr>
              <w:t>4.62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31.8</w:t>
            </w:r>
            <w:r w:rsidR="00B067C4" w:rsidRPr="00821079">
              <w:rPr>
                <w:rFonts w:ascii="Times New Roman" w:eastAsia="ArrusBT-Roman" w:hAnsi="Times New Roman" w:cs="Times New Roman"/>
              </w:rPr>
              <w:t>±</w:t>
            </w:r>
            <w:r w:rsidRPr="00821079">
              <w:rPr>
                <w:rFonts w:ascii="Times New Roman" w:eastAsia="ArrusBT-Roman" w:hAnsi="Times New Roman" w:cs="Times New Roman"/>
              </w:rPr>
              <w:t>2.3</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30.9</w:t>
            </w:r>
            <w:r w:rsidR="00B067C4" w:rsidRPr="00821079">
              <w:rPr>
                <w:rFonts w:ascii="Times New Roman" w:eastAsia="ArrusBT-Roman" w:hAnsi="Times New Roman" w:cs="Times New Roman"/>
              </w:rPr>
              <w:t>±</w:t>
            </w:r>
            <w:r w:rsidRPr="00821079">
              <w:rPr>
                <w:rFonts w:ascii="Times New Roman" w:eastAsia="ArrusBT-Roman" w:hAnsi="Times New Roman" w:cs="Times New Roman"/>
              </w:rPr>
              <w:t>2.3</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32.4</w:t>
            </w:r>
            <w:r w:rsidR="00B067C4" w:rsidRPr="00821079">
              <w:rPr>
                <w:rFonts w:ascii="Times New Roman" w:eastAsia="ArrusBT-Roman" w:hAnsi="Times New Roman" w:cs="Times New Roman"/>
              </w:rPr>
              <w:t>±</w:t>
            </w:r>
            <w:r w:rsidRPr="00821079">
              <w:rPr>
                <w:rFonts w:ascii="Times New Roman" w:eastAsia="ArrusBT-Roman" w:hAnsi="Times New Roman" w:cs="Times New Roman"/>
              </w:rPr>
              <w:t>1.4</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32.4</w:t>
            </w:r>
            <w:r w:rsidR="00B067C4" w:rsidRPr="00821079">
              <w:rPr>
                <w:rFonts w:ascii="Times New Roman" w:eastAsia="ArrusBT-Roman" w:hAnsi="Times New Roman" w:cs="Times New Roman"/>
              </w:rPr>
              <w:t>±</w:t>
            </w:r>
            <w:r w:rsidRPr="00821079">
              <w:rPr>
                <w:rFonts w:ascii="Times New Roman" w:eastAsia="ArrusBT-Roman" w:hAnsi="Times New Roman" w:cs="Times New Roman"/>
              </w:rPr>
              <w:t>2.4</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31.5</w:t>
            </w:r>
            <w:r w:rsidR="00B067C4" w:rsidRPr="00821079">
              <w:rPr>
                <w:rFonts w:ascii="Times New Roman" w:eastAsia="ArrusBT-Roman" w:hAnsi="Times New Roman" w:cs="Times New Roman"/>
              </w:rPr>
              <w:t>±</w:t>
            </w:r>
            <w:r w:rsidRPr="00821079">
              <w:rPr>
                <w:rFonts w:ascii="Times New Roman" w:eastAsia="ArrusBT-Roman" w:hAnsi="Times New Roman" w:cs="Times New Roman"/>
              </w:rPr>
              <w:t>2.3</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RDW-CV</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18±4.7</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18.4</w:t>
            </w:r>
            <w:r w:rsidR="00B067C4" w:rsidRPr="00821079">
              <w:rPr>
                <w:rFonts w:ascii="Times New Roman" w:eastAsia="ArrusBT-Roman" w:hAnsi="Times New Roman" w:cs="Times New Roman"/>
              </w:rPr>
              <w:t>±</w:t>
            </w:r>
            <w:r w:rsidRPr="00821079">
              <w:rPr>
                <w:rFonts w:ascii="Times New Roman" w:eastAsia="ArrusBT-Roman" w:hAnsi="Times New Roman" w:cs="Times New Roman"/>
              </w:rPr>
              <w:t>3.8</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20.32</w:t>
            </w:r>
            <w:r w:rsidR="00B067C4" w:rsidRPr="00821079">
              <w:rPr>
                <w:rFonts w:ascii="Times New Roman" w:eastAsia="ArrusBT-Roman" w:hAnsi="Times New Roman" w:cs="Times New Roman"/>
              </w:rPr>
              <w:t>±</w:t>
            </w:r>
            <w:r w:rsidRPr="00821079">
              <w:rPr>
                <w:rFonts w:ascii="Times New Roman" w:eastAsia="ArrusBT-Roman" w:hAnsi="Times New Roman" w:cs="Times New Roman"/>
              </w:rPr>
              <w:t>5.2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22.5</w:t>
            </w:r>
            <w:r w:rsidR="00B067C4" w:rsidRPr="00821079">
              <w:rPr>
                <w:rFonts w:ascii="Times New Roman" w:eastAsia="ArrusBT-Roman" w:hAnsi="Times New Roman" w:cs="Times New Roman"/>
              </w:rPr>
              <w:t>±</w:t>
            </w:r>
            <w:r w:rsidRPr="00821079">
              <w:rPr>
                <w:rFonts w:ascii="Times New Roman" w:eastAsia="ArrusBT-Roman" w:hAnsi="Times New Roman" w:cs="Times New Roman"/>
              </w:rPr>
              <w:t>4.1</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21.6</w:t>
            </w:r>
            <w:r w:rsidR="00B067C4" w:rsidRPr="00821079">
              <w:rPr>
                <w:rFonts w:ascii="Times New Roman" w:eastAsia="ArrusBT-Roman" w:hAnsi="Times New Roman" w:cs="Times New Roman"/>
              </w:rPr>
              <w:t>±</w:t>
            </w:r>
            <w:r w:rsidRPr="00821079">
              <w:rPr>
                <w:rFonts w:ascii="Times New Roman" w:eastAsia="ArrusBT-Roman" w:hAnsi="Times New Roman" w:cs="Times New Roman"/>
              </w:rPr>
              <w:t>4.3</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21.68</w:t>
            </w:r>
            <w:r w:rsidR="00B067C4" w:rsidRPr="00821079">
              <w:rPr>
                <w:rFonts w:ascii="Times New Roman" w:eastAsia="ArrusBT-Roman" w:hAnsi="Times New Roman" w:cs="Times New Roman"/>
              </w:rPr>
              <w:t>±</w:t>
            </w:r>
            <w:r w:rsidRPr="00821079">
              <w:rPr>
                <w:rFonts w:ascii="Times New Roman" w:eastAsia="ArrusBT-Roman" w:hAnsi="Times New Roman" w:cs="Times New Roman"/>
              </w:rPr>
              <w:t>3.9</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18.4</w:t>
            </w:r>
            <w:r w:rsidR="00B067C4" w:rsidRPr="00821079">
              <w:rPr>
                <w:rFonts w:ascii="Times New Roman" w:eastAsia="ArrusBT-Roman" w:hAnsi="Times New Roman" w:cs="Times New Roman"/>
              </w:rPr>
              <w:t>±</w:t>
            </w:r>
            <w:r w:rsidRPr="00821079">
              <w:rPr>
                <w:rFonts w:ascii="Times New Roman" w:eastAsia="ArrusBT-Roman" w:hAnsi="Times New Roman" w:cs="Times New Roman"/>
              </w:rPr>
              <w:t>3.64</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17.6</w:t>
            </w:r>
            <w:r w:rsidR="00B067C4" w:rsidRPr="00821079">
              <w:rPr>
                <w:rFonts w:ascii="Times New Roman" w:eastAsia="ArrusBT-Roman" w:hAnsi="Times New Roman" w:cs="Times New Roman"/>
              </w:rPr>
              <w:t>±</w:t>
            </w:r>
            <w:r w:rsidRPr="00821079">
              <w:rPr>
                <w:rFonts w:ascii="Times New Roman" w:eastAsia="ArrusBT-Roman" w:hAnsi="Times New Roman" w:cs="Times New Roman"/>
              </w:rPr>
              <w:t>2.8</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A</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89.12±4.65</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86.3</w:t>
            </w:r>
            <w:r w:rsidR="00B067C4" w:rsidRPr="00821079">
              <w:rPr>
                <w:rFonts w:ascii="Times New Roman" w:eastAsia="ArrusBT-Roman" w:hAnsi="Times New Roman" w:cs="Times New Roman"/>
              </w:rPr>
              <w:t>±</w:t>
            </w:r>
            <w:r w:rsidRPr="00821079">
              <w:rPr>
                <w:rFonts w:ascii="Times New Roman" w:eastAsia="ArrusBT-Roman" w:hAnsi="Times New Roman" w:cs="Times New Roman"/>
              </w:rPr>
              <w:t>4.3</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20.4</w:t>
            </w:r>
            <w:r w:rsidR="00B067C4" w:rsidRPr="00821079">
              <w:rPr>
                <w:rFonts w:ascii="Times New Roman" w:eastAsia="ArrusBT-Roman" w:hAnsi="Times New Roman" w:cs="Times New Roman"/>
              </w:rPr>
              <w:t>±</w:t>
            </w:r>
            <w:r w:rsidRPr="00821079">
              <w:rPr>
                <w:rFonts w:ascii="Times New Roman" w:eastAsia="ArrusBT-Roman" w:hAnsi="Times New Roman" w:cs="Times New Roman"/>
              </w:rPr>
              <w:t>19.8</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5.4</w:t>
            </w:r>
            <w:r w:rsidR="00B067C4" w:rsidRPr="00821079">
              <w:rPr>
                <w:rFonts w:ascii="Times New Roman" w:eastAsia="ArrusBT-Roman" w:hAnsi="Times New Roman" w:cs="Times New Roman"/>
              </w:rPr>
              <w:t>±</w:t>
            </w:r>
            <w:r w:rsidRPr="00821079">
              <w:rPr>
                <w:rFonts w:ascii="Times New Roman" w:eastAsia="ArrusBT-Roman" w:hAnsi="Times New Roman" w:cs="Times New Roman"/>
              </w:rPr>
              <w:t>2.3</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58.1</w:t>
            </w:r>
            <w:r w:rsidR="00B067C4" w:rsidRPr="00821079">
              <w:rPr>
                <w:rFonts w:ascii="Times New Roman" w:eastAsia="ArrusBT-Roman" w:hAnsi="Times New Roman" w:cs="Times New Roman"/>
              </w:rPr>
              <w:t>±</w:t>
            </w:r>
            <w:r w:rsidRPr="00821079">
              <w:rPr>
                <w:rFonts w:ascii="Times New Roman" w:eastAsia="ArrusBT-Roman" w:hAnsi="Times New Roman" w:cs="Times New Roman"/>
              </w:rPr>
              <w:t>4.3</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6.3</w:t>
            </w:r>
            <w:r w:rsidR="00B067C4" w:rsidRPr="00821079">
              <w:rPr>
                <w:rFonts w:ascii="Times New Roman" w:eastAsia="ArrusBT-Roman" w:hAnsi="Times New Roman" w:cs="Times New Roman"/>
              </w:rPr>
              <w:t>±</w:t>
            </w:r>
            <w:r w:rsidRPr="00821079">
              <w:rPr>
                <w:rFonts w:ascii="Times New Roman" w:eastAsia="ArrusBT-Roman" w:hAnsi="Times New Roman" w:cs="Times New Roman"/>
              </w:rPr>
              <w:t>2.21</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51.68</w:t>
            </w:r>
            <w:r w:rsidR="00B067C4" w:rsidRPr="00821079">
              <w:rPr>
                <w:rFonts w:ascii="Times New Roman" w:eastAsia="ArrusBT-Roman" w:hAnsi="Times New Roman" w:cs="Times New Roman"/>
              </w:rPr>
              <w:t>±</w:t>
            </w:r>
            <w:r w:rsidRPr="00821079">
              <w:rPr>
                <w:rFonts w:ascii="Times New Roman" w:eastAsia="ArrusBT-Roman" w:hAnsi="Times New Roman" w:cs="Times New Roman"/>
              </w:rPr>
              <w:t>5.27</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85.2</w:t>
            </w:r>
            <w:r w:rsidR="00B067C4" w:rsidRPr="00821079">
              <w:rPr>
                <w:rFonts w:ascii="Times New Roman" w:eastAsia="ArrusBT-Roman" w:hAnsi="Times New Roman" w:cs="Times New Roman"/>
              </w:rPr>
              <w:t>±</w:t>
            </w:r>
            <w:r w:rsidRPr="00821079">
              <w:rPr>
                <w:rFonts w:ascii="Times New Roman" w:eastAsia="ArrusBT-Roman" w:hAnsi="Times New Roman" w:cs="Times New Roman"/>
              </w:rPr>
              <w:t>3.5</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A2</w:t>
            </w:r>
          </w:p>
        </w:tc>
        <w:tc>
          <w:tcPr>
            <w:tcW w:w="1217" w:type="dxa"/>
          </w:tcPr>
          <w:p w:rsidR="00B067C4" w:rsidRPr="00821079" w:rsidRDefault="00B067C4" w:rsidP="00B067C4">
            <w:pPr>
              <w:jc w:val="center"/>
              <w:rPr>
                <w:rFonts w:ascii="Times New Roman" w:hAnsi="Times New Roman" w:cs="Times New Roman"/>
              </w:rPr>
            </w:pPr>
            <w:r w:rsidRPr="00821079">
              <w:rPr>
                <w:rFonts w:ascii="Times New Roman" w:eastAsia="ArrusBT-Roman" w:hAnsi="Times New Roman" w:cs="Times New Roman"/>
              </w:rPr>
              <w:t>2.63±0.</w:t>
            </w:r>
            <w:r w:rsidR="005A4AEE" w:rsidRPr="00821079">
              <w:rPr>
                <w:rFonts w:ascii="Times New Roman" w:eastAsia="ArrusBT-Roman" w:hAnsi="Times New Roman" w:cs="Times New Roman"/>
              </w:rPr>
              <w:t>61</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5.15</w:t>
            </w:r>
            <w:r w:rsidR="00B067C4" w:rsidRPr="00821079">
              <w:rPr>
                <w:rFonts w:ascii="Times New Roman" w:eastAsia="ArrusBT-Roman" w:hAnsi="Times New Roman" w:cs="Times New Roman"/>
              </w:rPr>
              <w:t>±</w:t>
            </w:r>
            <w:r w:rsidRPr="00821079">
              <w:rPr>
                <w:rFonts w:ascii="Times New Roman" w:eastAsia="ArrusBT-Roman" w:hAnsi="Times New Roman" w:cs="Times New Roman"/>
              </w:rPr>
              <w:t>0.72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3.4</w:t>
            </w:r>
            <w:r w:rsidR="00B067C4" w:rsidRPr="00821079">
              <w:rPr>
                <w:rFonts w:ascii="Times New Roman" w:eastAsia="ArrusBT-Roman" w:hAnsi="Times New Roman" w:cs="Times New Roman"/>
              </w:rPr>
              <w:t>±</w:t>
            </w:r>
            <w:r w:rsidRPr="00821079">
              <w:rPr>
                <w:rFonts w:ascii="Times New Roman" w:eastAsia="ArrusBT-Roman" w:hAnsi="Times New Roman" w:cs="Times New Roman"/>
              </w:rPr>
              <w:t>1.2</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3.54</w:t>
            </w:r>
            <w:r w:rsidR="00B067C4" w:rsidRPr="00821079">
              <w:rPr>
                <w:rFonts w:ascii="Times New Roman" w:eastAsia="ArrusBT-Roman" w:hAnsi="Times New Roman" w:cs="Times New Roman"/>
              </w:rPr>
              <w:t>±</w:t>
            </w:r>
            <w:r w:rsidRPr="00821079">
              <w:rPr>
                <w:rFonts w:ascii="Times New Roman" w:eastAsia="ArrusBT-Roman" w:hAnsi="Times New Roman" w:cs="Times New Roman"/>
              </w:rPr>
              <w:t>0.86</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3.4</w:t>
            </w:r>
            <w:r w:rsidR="00B067C4" w:rsidRPr="00821079">
              <w:rPr>
                <w:rFonts w:ascii="Times New Roman" w:eastAsia="ArrusBT-Roman" w:hAnsi="Times New Roman" w:cs="Times New Roman"/>
              </w:rPr>
              <w:t>±</w:t>
            </w:r>
            <w:r w:rsidRPr="00821079">
              <w:rPr>
                <w:rFonts w:ascii="Times New Roman" w:eastAsia="ArrusBT-Roman" w:hAnsi="Times New Roman" w:cs="Times New Roman"/>
              </w:rPr>
              <w:t>0.9</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5.58</w:t>
            </w:r>
            <w:r w:rsidR="00B067C4" w:rsidRPr="00821079">
              <w:rPr>
                <w:rFonts w:ascii="Times New Roman" w:eastAsia="ArrusBT-Roman" w:hAnsi="Times New Roman" w:cs="Times New Roman"/>
              </w:rPr>
              <w:t>±</w:t>
            </w:r>
            <w:r w:rsidRPr="00821079">
              <w:rPr>
                <w:rFonts w:ascii="Times New Roman" w:eastAsia="ArrusBT-Roman" w:hAnsi="Times New Roman" w:cs="Times New Roman"/>
              </w:rPr>
              <w:t>1.21</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2.4</w:t>
            </w:r>
            <w:r w:rsidR="00B067C4" w:rsidRPr="00821079">
              <w:rPr>
                <w:rFonts w:ascii="Times New Roman" w:eastAsia="ArrusBT-Roman" w:hAnsi="Times New Roman" w:cs="Times New Roman"/>
              </w:rPr>
              <w:t>±</w:t>
            </w:r>
            <w:r w:rsidRPr="00821079">
              <w:rPr>
                <w:rFonts w:ascii="Times New Roman" w:eastAsia="ArrusBT-Roman" w:hAnsi="Times New Roman" w:cs="Times New Roman"/>
              </w:rPr>
              <w:t>0.38</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2.7</w:t>
            </w:r>
            <w:r w:rsidR="00B067C4" w:rsidRPr="00821079">
              <w:rPr>
                <w:rFonts w:ascii="Times New Roman" w:eastAsia="ArrusBT-Roman" w:hAnsi="Times New Roman" w:cs="Times New Roman"/>
              </w:rPr>
              <w:t>±</w:t>
            </w:r>
            <w:r w:rsidRPr="00821079">
              <w:rPr>
                <w:rFonts w:ascii="Times New Roman" w:eastAsia="ArrusBT-Roman" w:hAnsi="Times New Roman" w:cs="Times New Roman"/>
              </w:rPr>
              <w:t>0.51</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F</w:t>
            </w:r>
          </w:p>
        </w:tc>
        <w:tc>
          <w:tcPr>
            <w:tcW w:w="121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0.65</w:t>
            </w:r>
            <w:r w:rsidR="00B067C4" w:rsidRPr="00821079">
              <w:rPr>
                <w:rFonts w:ascii="Times New Roman" w:eastAsia="ArrusBT-Roman" w:hAnsi="Times New Roman" w:cs="Times New Roman"/>
              </w:rPr>
              <w:t>±</w:t>
            </w:r>
            <w:r w:rsidRPr="00821079">
              <w:rPr>
                <w:rFonts w:ascii="Times New Roman" w:eastAsia="ArrusBT-Roman" w:hAnsi="Times New Roman" w:cs="Times New Roman"/>
              </w:rPr>
              <w:t>0.36</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1.4</w:t>
            </w:r>
            <w:r w:rsidR="00B067C4" w:rsidRPr="00821079">
              <w:rPr>
                <w:rFonts w:ascii="Times New Roman" w:eastAsia="ArrusBT-Roman" w:hAnsi="Times New Roman" w:cs="Times New Roman"/>
              </w:rPr>
              <w:t>±</w:t>
            </w:r>
            <w:r w:rsidRPr="00821079">
              <w:rPr>
                <w:rFonts w:ascii="Times New Roman" w:eastAsia="ArrusBT-Roman" w:hAnsi="Times New Roman" w:cs="Times New Roman"/>
              </w:rPr>
              <w:t>0.5</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81.2</w:t>
            </w:r>
            <w:r w:rsidR="00B067C4" w:rsidRPr="00821079">
              <w:rPr>
                <w:rFonts w:ascii="Times New Roman" w:eastAsia="ArrusBT-Roman" w:hAnsi="Times New Roman" w:cs="Times New Roman"/>
              </w:rPr>
              <w:t>±</w:t>
            </w:r>
            <w:r w:rsidRPr="00821079">
              <w:rPr>
                <w:rFonts w:ascii="Times New Roman" w:eastAsia="ArrusBT-Roman" w:hAnsi="Times New Roman" w:cs="Times New Roman"/>
              </w:rPr>
              <w:t>14.3</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15.9</w:t>
            </w:r>
            <w:r w:rsidR="00B067C4" w:rsidRPr="00821079">
              <w:rPr>
                <w:rFonts w:ascii="Times New Roman" w:eastAsia="ArrusBT-Roman" w:hAnsi="Times New Roman" w:cs="Times New Roman"/>
              </w:rPr>
              <w:t>±</w:t>
            </w:r>
            <w:r w:rsidRPr="00821079">
              <w:rPr>
                <w:rFonts w:ascii="Times New Roman" w:eastAsia="ArrusBT-Roman" w:hAnsi="Times New Roman" w:cs="Times New Roman"/>
              </w:rPr>
              <w:t>6.89</w:t>
            </w:r>
          </w:p>
        </w:tc>
        <w:tc>
          <w:tcPr>
            <w:tcW w:w="99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1.9</w:t>
            </w:r>
            <w:r w:rsidR="00B067C4" w:rsidRPr="00821079">
              <w:rPr>
                <w:rFonts w:ascii="Times New Roman" w:eastAsia="ArrusBT-Roman" w:hAnsi="Times New Roman" w:cs="Times New Roman"/>
              </w:rPr>
              <w:t>±</w:t>
            </w:r>
            <w:r w:rsidR="005A24B5" w:rsidRPr="00821079">
              <w:rPr>
                <w:rFonts w:ascii="Times New Roman" w:eastAsia="ArrusBT-Roman" w:hAnsi="Times New Roman" w:cs="Times New Roman"/>
              </w:rPr>
              <w:t>3.21</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2.31</w:t>
            </w:r>
            <w:r w:rsidR="00B067C4" w:rsidRPr="00821079">
              <w:rPr>
                <w:rFonts w:ascii="Times New Roman" w:eastAsia="ArrusBT-Roman" w:hAnsi="Times New Roman" w:cs="Times New Roman"/>
              </w:rPr>
              <w:t>±</w:t>
            </w:r>
            <w:r w:rsidRPr="00821079">
              <w:rPr>
                <w:rFonts w:ascii="Times New Roman" w:eastAsia="ArrusBT-Roman" w:hAnsi="Times New Roman" w:cs="Times New Roman"/>
              </w:rPr>
              <w:t>7.4</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0.7</w:t>
            </w:r>
            <w:r w:rsidR="00B067C4" w:rsidRPr="00821079">
              <w:rPr>
                <w:rFonts w:ascii="Times New Roman" w:eastAsia="ArrusBT-Roman" w:hAnsi="Times New Roman" w:cs="Times New Roman"/>
              </w:rPr>
              <w:t>±</w:t>
            </w:r>
            <w:r w:rsidRPr="00821079">
              <w:rPr>
                <w:rFonts w:ascii="Times New Roman" w:eastAsia="ArrusBT-Roman" w:hAnsi="Times New Roman" w:cs="Times New Roman"/>
              </w:rPr>
              <w:t>0.2</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9.4</w:t>
            </w:r>
            <w:r w:rsidR="00B067C4" w:rsidRPr="00821079">
              <w:rPr>
                <w:rFonts w:ascii="Times New Roman" w:eastAsia="ArrusBT-Roman" w:hAnsi="Times New Roman" w:cs="Times New Roman"/>
              </w:rPr>
              <w:t>±</w:t>
            </w:r>
            <w:r w:rsidRPr="00821079">
              <w:rPr>
                <w:rFonts w:ascii="Times New Roman" w:eastAsia="ArrusBT-Roman" w:hAnsi="Times New Roman" w:cs="Times New Roman"/>
              </w:rPr>
              <w:t>3.4</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S</w:t>
            </w:r>
          </w:p>
        </w:tc>
        <w:tc>
          <w:tcPr>
            <w:tcW w:w="121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74.5</w:t>
            </w:r>
            <w:r w:rsidR="00B067C4" w:rsidRPr="00821079">
              <w:rPr>
                <w:rFonts w:ascii="Times New Roman" w:eastAsia="ArrusBT-Roman" w:hAnsi="Times New Roman" w:cs="Times New Roman"/>
              </w:rPr>
              <w:t>±</w:t>
            </w:r>
            <w:r w:rsidRPr="00821079">
              <w:rPr>
                <w:rFonts w:ascii="Times New Roman" w:eastAsia="ArrusBT-Roman" w:hAnsi="Times New Roman" w:cs="Times New Roman"/>
              </w:rPr>
              <w:t>8.4</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32.6</w:t>
            </w:r>
            <w:r w:rsidR="00B067C4" w:rsidRPr="00821079">
              <w:rPr>
                <w:rFonts w:ascii="Times New Roman" w:eastAsia="ArrusBT-Roman" w:hAnsi="Times New Roman" w:cs="Times New Roman"/>
              </w:rPr>
              <w:t>±</w:t>
            </w:r>
            <w:r w:rsidRPr="00821079">
              <w:rPr>
                <w:rFonts w:ascii="Times New Roman" w:eastAsia="ArrusBT-Roman" w:hAnsi="Times New Roman" w:cs="Times New Roman"/>
              </w:rPr>
              <w:t>5.6</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69.4</w:t>
            </w:r>
            <w:r w:rsidR="00B067C4" w:rsidRPr="00821079">
              <w:rPr>
                <w:rFonts w:ascii="Times New Roman" w:eastAsia="ArrusBT-Roman" w:hAnsi="Times New Roman" w:cs="Times New Roman"/>
              </w:rPr>
              <w:t>±</w:t>
            </w:r>
            <w:r w:rsidRPr="00821079">
              <w:rPr>
                <w:rFonts w:ascii="Times New Roman" w:eastAsia="ArrusBT-Roman" w:hAnsi="Times New Roman" w:cs="Times New Roman"/>
              </w:rPr>
              <w:t>8.93</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w:t>
            </w:r>
          </w:p>
        </w:tc>
      </w:tr>
      <w:tr w:rsidR="00045B0E" w:rsidRPr="00821079" w:rsidTr="00D8537D">
        <w:tc>
          <w:tcPr>
            <w:tcW w:w="1218" w:type="dxa"/>
          </w:tcPr>
          <w:p w:rsidR="00B067C4" w:rsidRPr="00821079" w:rsidRDefault="00B067C4" w:rsidP="00321462">
            <w:pPr>
              <w:autoSpaceDE w:val="0"/>
              <w:autoSpaceDN w:val="0"/>
              <w:adjustRightInd w:val="0"/>
              <w:jc w:val="center"/>
              <w:rPr>
                <w:rFonts w:ascii="Times New Roman" w:eastAsia="ArrusBT-Roman" w:hAnsi="Times New Roman" w:cs="Times New Roman"/>
              </w:rPr>
            </w:pPr>
            <w:r w:rsidRPr="00821079">
              <w:rPr>
                <w:rFonts w:ascii="Times New Roman" w:eastAsia="ArrusBT-Roman" w:hAnsi="Times New Roman" w:cs="Times New Roman"/>
              </w:rPr>
              <w:t>Hb D</w:t>
            </w:r>
          </w:p>
        </w:tc>
        <w:tc>
          <w:tcPr>
            <w:tcW w:w="121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5A4AEE"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7717BA" w:rsidP="00B067C4">
            <w:pPr>
              <w:jc w:val="center"/>
              <w:rPr>
                <w:rFonts w:ascii="Times New Roman" w:hAnsi="Times New Roman" w:cs="Times New Roman"/>
              </w:rPr>
            </w:pPr>
            <w:r w:rsidRPr="00821079">
              <w:rPr>
                <w:rFonts w:ascii="Times New Roman" w:eastAsia="ArrusBT-Roman" w:hAnsi="Times New Roman" w:cs="Times New Roman"/>
              </w:rPr>
              <w:t>-</w:t>
            </w:r>
          </w:p>
        </w:tc>
        <w:tc>
          <w:tcPr>
            <w:tcW w:w="997" w:type="dxa"/>
          </w:tcPr>
          <w:p w:rsidR="00B067C4" w:rsidRPr="00821079" w:rsidRDefault="005A24B5" w:rsidP="00B067C4">
            <w:pPr>
              <w:jc w:val="center"/>
              <w:rPr>
                <w:rFonts w:ascii="Times New Roman" w:hAnsi="Times New Roman" w:cs="Times New Roman"/>
              </w:rPr>
            </w:pPr>
            <w:r w:rsidRPr="00821079">
              <w:rPr>
                <w:rFonts w:ascii="Times New Roman" w:eastAsia="ArrusBT-Roman" w:hAnsi="Times New Roman" w:cs="Times New Roman"/>
              </w:rPr>
              <w:t>-</w:t>
            </w:r>
          </w:p>
        </w:tc>
        <w:tc>
          <w:tcPr>
            <w:tcW w:w="1107" w:type="dxa"/>
          </w:tcPr>
          <w:p w:rsidR="00B067C4" w:rsidRPr="00821079" w:rsidRDefault="00045B0E" w:rsidP="00B067C4">
            <w:pPr>
              <w:jc w:val="center"/>
              <w:rPr>
                <w:rFonts w:ascii="Times New Roman" w:hAnsi="Times New Roman" w:cs="Times New Roman"/>
              </w:rPr>
            </w:pPr>
            <w:r w:rsidRPr="00821079">
              <w:rPr>
                <w:rFonts w:ascii="Times New Roman" w:eastAsia="ArrusBT-Roman" w:hAnsi="Times New Roman" w:cs="Times New Roman"/>
              </w:rPr>
              <w:t>-</w:t>
            </w:r>
          </w:p>
        </w:tc>
        <w:tc>
          <w:tcPr>
            <w:tcW w:w="1217" w:type="dxa"/>
          </w:tcPr>
          <w:p w:rsidR="00B067C4" w:rsidRPr="00821079" w:rsidRDefault="00FB2CA7" w:rsidP="00B067C4">
            <w:pPr>
              <w:jc w:val="center"/>
              <w:rPr>
                <w:rFonts w:ascii="Times New Roman" w:hAnsi="Times New Roman" w:cs="Times New Roman"/>
              </w:rPr>
            </w:pPr>
            <w:r w:rsidRPr="00821079">
              <w:rPr>
                <w:rFonts w:ascii="Times New Roman" w:eastAsia="ArrusBT-Roman" w:hAnsi="Times New Roman" w:cs="Times New Roman"/>
              </w:rPr>
              <w:t>36.7±</w:t>
            </w:r>
            <w:r w:rsidR="0012483A" w:rsidRPr="00821079">
              <w:rPr>
                <w:rFonts w:ascii="Times New Roman" w:eastAsia="ArrusBT-Roman" w:hAnsi="Times New Roman" w:cs="Times New Roman"/>
              </w:rPr>
              <w:t>6.8</w:t>
            </w:r>
          </w:p>
        </w:tc>
        <w:tc>
          <w:tcPr>
            <w:tcW w:w="997" w:type="dxa"/>
          </w:tcPr>
          <w:p w:rsidR="00B067C4" w:rsidRPr="00821079" w:rsidRDefault="00D8537D" w:rsidP="00B067C4">
            <w:pPr>
              <w:jc w:val="center"/>
              <w:rPr>
                <w:rFonts w:ascii="Times New Roman" w:hAnsi="Times New Roman" w:cs="Times New Roman"/>
              </w:rPr>
            </w:pPr>
            <w:r w:rsidRPr="00821079">
              <w:rPr>
                <w:rFonts w:ascii="Times New Roman" w:eastAsia="ArrusBT-Roman" w:hAnsi="Times New Roman" w:cs="Times New Roman"/>
              </w:rPr>
              <w:t>-</w:t>
            </w:r>
          </w:p>
        </w:tc>
      </w:tr>
    </w:tbl>
    <w:p w:rsidR="006443AF" w:rsidRPr="00821079" w:rsidRDefault="00DC7E40" w:rsidP="008770EF">
      <w:pPr>
        <w:autoSpaceDE w:val="0"/>
        <w:autoSpaceDN w:val="0"/>
        <w:adjustRightInd w:val="0"/>
        <w:spacing w:after="0" w:line="240" w:lineRule="auto"/>
        <w:jc w:val="both"/>
        <w:rPr>
          <w:rFonts w:ascii="Times New Roman" w:eastAsia="ArrusBT-Roman" w:hAnsi="Times New Roman" w:cs="Times New Roman"/>
          <w:i/>
          <w:iCs/>
        </w:rPr>
      </w:pPr>
      <w:r w:rsidRPr="00821079">
        <w:rPr>
          <w:rFonts w:ascii="Times New Roman" w:eastAsia="ArrusBT-Roman" w:hAnsi="Times New Roman" w:cs="Times New Roman"/>
          <w:i/>
          <w:iCs/>
        </w:rPr>
        <w:t>*</w:t>
      </w:r>
      <w:r w:rsidR="00D8537D" w:rsidRPr="00821079">
        <w:rPr>
          <w:rFonts w:ascii="Times New Roman" w:eastAsia="ArrusBT-Roman" w:hAnsi="Times New Roman" w:cs="Times New Roman"/>
          <w:i/>
          <w:iCs/>
        </w:rPr>
        <w:t>Numbers are mean ± standard deviation. Hb=</w:t>
      </w:r>
      <w:r w:rsidR="005552CC" w:rsidRPr="00821079">
        <w:rPr>
          <w:rFonts w:ascii="Times New Roman" w:eastAsia="ArrusBT-Roman" w:hAnsi="Times New Roman" w:cs="Times New Roman"/>
          <w:i/>
          <w:iCs/>
        </w:rPr>
        <w:t xml:space="preserve">hemoglobin, RBC=red cell count, PCV= packed cell volume, MCV= mean corpuscular volume, MCH= mean corpuscular hemoglobin, MCHC= mean corpuscular hemoglobin concentration, RDW= red cell distribution width, </w:t>
      </w:r>
      <w:r w:rsidR="00467AE3" w:rsidRPr="00821079">
        <w:rPr>
          <w:rFonts w:ascii="Times New Roman" w:eastAsia="ArrusBT-Roman" w:hAnsi="Times New Roman" w:cs="Times New Roman"/>
          <w:i/>
          <w:iCs/>
        </w:rPr>
        <w:t xml:space="preserve">BTT= beta thalassemia trait, Thal major= beta thalassemia major, </w:t>
      </w:r>
      <w:r w:rsidR="008770EF" w:rsidRPr="00821079">
        <w:rPr>
          <w:rFonts w:ascii="Times New Roman" w:eastAsia="ArrusBT-Roman" w:hAnsi="Times New Roman" w:cs="Times New Roman"/>
          <w:i/>
          <w:iCs/>
        </w:rPr>
        <w:t>Homo=homozygous, Hetero=heterozygous, HPFH=hereditary persistence of fetal hemoglobin</w:t>
      </w:r>
    </w:p>
    <w:p w:rsidR="006443AF" w:rsidRPr="00821079" w:rsidRDefault="006443AF" w:rsidP="008770EF">
      <w:pPr>
        <w:autoSpaceDE w:val="0"/>
        <w:autoSpaceDN w:val="0"/>
        <w:adjustRightInd w:val="0"/>
        <w:spacing w:after="0" w:line="240" w:lineRule="auto"/>
        <w:rPr>
          <w:rFonts w:ascii="Times New Roman" w:eastAsia="ArrusBT-Roman" w:hAnsi="Times New Roman" w:cs="Times New Roman"/>
          <w:i/>
          <w:iCs/>
        </w:rPr>
      </w:pPr>
    </w:p>
    <w:p w:rsidR="00B60796" w:rsidRPr="00821079" w:rsidRDefault="00B60796" w:rsidP="008770EF">
      <w:pPr>
        <w:autoSpaceDE w:val="0"/>
        <w:autoSpaceDN w:val="0"/>
        <w:adjustRightInd w:val="0"/>
        <w:spacing w:after="0" w:line="240" w:lineRule="auto"/>
        <w:rPr>
          <w:rFonts w:ascii="Times New Roman" w:eastAsia="ArrusBT-Roman" w:hAnsi="Times New Roman" w:cs="Times New Roman"/>
        </w:rPr>
      </w:pPr>
    </w:p>
    <w:p w:rsidR="00B60796" w:rsidRPr="00821079" w:rsidRDefault="00B60796" w:rsidP="00B60796">
      <w:pPr>
        <w:autoSpaceDE w:val="0"/>
        <w:autoSpaceDN w:val="0"/>
        <w:adjustRightInd w:val="0"/>
        <w:spacing w:after="0" w:line="240" w:lineRule="auto"/>
        <w:jc w:val="center"/>
        <w:rPr>
          <w:rFonts w:ascii="Times New Roman" w:eastAsia="ArrusBT-Roman" w:hAnsi="Times New Roman" w:cs="Times New Roman"/>
          <w:b/>
          <w:bCs/>
        </w:rPr>
      </w:pPr>
      <w:r w:rsidRPr="00821079">
        <w:rPr>
          <w:rFonts w:ascii="Times New Roman" w:eastAsia="ArrusBT-Roman" w:hAnsi="Times New Roman" w:cs="Times New Roman"/>
          <w:b/>
          <w:bCs/>
        </w:rPr>
        <w:t>Figure 1: Column chart shows frequency of hemoglobinopathies</w:t>
      </w:r>
    </w:p>
    <w:p w:rsidR="00B60796" w:rsidRPr="00821079" w:rsidRDefault="00B60796" w:rsidP="008770EF">
      <w:pPr>
        <w:autoSpaceDE w:val="0"/>
        <w:autoSpaceDN w:val="0"/>
        <w:adjustRightInd w:val="0"/>
        <w:spacing w:after="0" w:line="240" w:lineRule="auto"/>
        <w:rPr>
          <w:rFonts w:ascii="Times New Roman" w:eastAsia="ArrusBT-Roman" w:hAnsi="Times New Roman" w:cs="Times New Roman"/>
          <w:b/>
          <w:bCs/>
        </w:rPr>
      </w:pPr>
    </w:p>
    <w:p w:rsidR="008770EF" w:rsidRPr="00821079" w:rsidRDefault="008770EF" w:rsidP="008770EF">
      <w:pPr>
        <w:autoSpaceDE w:val="0"/>
        <w:autoSpaceDN w:val="0"/>
        <w:adjustRightInd w:val="0"/>
        <w:spacing w:after="0" w:line="240" w:lineRule="auto"/>
        <w:rPr>
          <w:rFonts w:ascii="Times New Roman" w:eastAsia="ArrusBT-Roman" w:hAnsi="Times New Roman" w:cs="Times New Roman"/>
        </w:rPr>
      </w:pPr>
      <w:r w:rsidRPr="00821079">
        <w:rPr>
          <w:rFonts w:ascii="Times New Roman" w:eastAsia="ArrusBT-Roman" w:hAnsi="Times New Roman" w:cs="Times New Roman"/>
          <w:noProof/>
        </w:rPr>
        <w:drawing>
          <wp:inline distT="0" distB="0" distL="0" distR="0">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50C41" w:rsidRPr="00821079" w:rsidRDefault="009C73CD" w:rsidP="00A50C41">
      <w:pPr>
        <w:autoSpaceDE w:val="0"/>
        <w:autoSpaceDN w:val="0"/>
        <w:adjustRightInd w:val="0"/>
        <w:spacing w:after="0" w:line="240" w:lineRule="auto"/>
        <w:jc w:val="both"/>
        <w:rPr>
          <w:rFonts w:ascii="Times New Roman" w:eastAsia="ArrusBT-Roman" w:hAnsi="Times New Roman" w:cs="Times New Roman"/>
          <w:i/>
          <w:iCs/>
        </w:rPr>
      </w:pPr>
      <w:r w:rsidRPr="00821079">
        <w:rPr>
          <w:rFonts w:ascii="Times New Roman" w:eastAsia="ArrusBT-Roman" w:hAnsi="Times New Roman" w:cs="Times New Roman"/>
          <w:i/>
          <w:iCs/>
        </w:rPr>
        <w:t>*</w:t>
      </w:r>
      <w:r w:rsidR="00A50C41" w:rsidRPr="00821079">
        <w:rPr>
          <w:rFonts w:ascii="Times New Roman" w:eastAsia="ArrusBT-Roman" w:hAnsi="Times New Roman" w:cs="Times New Roman"/>
          <w:i/>
          <w:iCs/>
        </w:rPr>
        <w:t>BTT= beta thalassemia trait, Thal major= beta thalassemia major, thal inter=thalassemia intermedia, Homo=homozygous, Hetero=heterozygous, s- ß = sickle cell beta thalassemia, D- ß =Hb D beta thallesemia, S-D= sickle cell HbD, D-E= Hb D Hb E, E- ß = Hb E beta thalessemia, HPFH=hereditary persistence of fetal hemoglobin</w:t>
      </w:r>
    </w:p>
    <w:p w:rsidR="00A50C41" w:rsidRPr="00821079" w:rsidRDefault="00A50C41" w:rsidP="00A50C41">
      <w:pPr>
        <w:autoSpaceDE w:val="0"/>
        <w:autoSpaceDN w:val="0"/>
        <w:adjustRightInd w:val="0"/>
        <w:spacing w:after="0" w:line="240" w:lineRule="auto"/>
        <w:rPr>
          <w:rFonts w:ascii="Times New Roman" w:eastAsia="ArrusBT-Roman" w:hAnsi="Times New Roman" w:cs="Times New Roman"/>
          <w:i/>
          <w:iCs/>
        </w:rPr>
      </w:pPr>
    </w:p>
    <w:p w:rsidR="00A50C41" w:rsidRPr="00821079" w:rsidRDefault="009C73CD" w:rsidP="00A50C41">
      <w:pPr>
        <w:autoSpaceDE w:val="0"/>
        <w:autoSpaceDN w:val="0"/>
        <w:adjustRightInd w:val="0"/>
        <w:spacing w:after="0" w:line="240" w:lineRule="auto"/>
        <w:rPr>
          <w:rFonts w:ascii="Times New Roman" w:eastAsia="ArrusBT-Roman" w:hAnsi="Times New Roman" w:cs="Times New Roman"/>
          <w:b/>
          <w:bCs/>
        </w:rPr>
      </w:pPr>
      <w:r w:rsidRPr="00821079">
        <w:rPr>
          <w:rFonts w:ascii="Times New Roman" w:eastAsia="ArrusBT-Roman" w:hAnsi="Times New Roman" w:cs="Times New Roman"/>
          <w:b/>
          <w:bCs/>
        </w:rPr>
        <w:t>DISCUSSION</w:t>
      </w:r>
    </w:p>
    <w:p w:rsidR="00A50C41" w:rsidRPr="00821079" w:rsidRDefault="00A50C41" w:rsidP="00711A7E">
      <w:pPr>
        <w:autoSpaceDE w:val="0"/>
        <w:autoSpaceDN w:val="0"/>
        <w:adjustRightInd w:val="0"/>
        <w:spacing w:after="0" w:line="240" w:lineRule="auto"/>
        <w:jc w:val="both"/>
        <w:rPr>
          <w:rFonts w:ascii="Times New Roman" w:eastAsia="ArrusBT-Roman" w:hAnsi="Times New Roman" w:cs="Times New Roman"/>
        </w:rPr>
      </w:pPr>
    </w:p>
    <w:p w:rsidR="00A50C41" w:rsidRPr="00821079" w:rsidRDefault="00A50C41" w:rsidP="00821079">
      <w:pPr>
        <w:autoSpaceDE w:val="0"/>
        <w:autoSpaceDN w:val="0"/>
        <w:adjustRightInd w:val="0"/>
        <w:spacing w:after="0" w:line="240" w:lineRule="auto"/>
        <w:ind w:firstLine="720"/>
        <w:jc w:val="both"/>
        <w:rPr>
          <w:rFonts w:ascii="Times New Roman" w:eastAsia="ArrusBT-Roman" w:hAnsi="Times New Roman" w:cs="Times New Roman"/>
          <w:vertAlign w:val="superscript"/>
        </w:rPr>
      </w:pPr>
      <w:r w:rsidRPr="00821079">
        <w:rPr>
          <w:rFonts w:ascii="Times New Roman" w:eastAsia="ArrusBT-Roman" w:hAnsi="Times New Roman" w:cs="Times New Roman"/>
        </w:rPr>
        <w:t xml:space="preserve">In </w:t>
      </w:r>
      <w:r w:rsidR="005F5BBE" w:rsidRPr="00821079">
        <w:rPr>
          <w:rFonts w:ascii="Times New Roman" w:eastAsia="ArrusBT-Roman" w:hAnsi="Times New Roman" w:cs="Times New Roman"/>
        </w:rPr>
        <w:t>India</w:t>
      </w:r>
      <w:r w:rsidRPr="00821079">
        <w:rPr>
          <w:rFonts w:ascii="Times New Roman" w:eastAsia="ArrusBT-Roman" w:hAnsi="Times New Roman" w:cs="Times New Roman"/>
        </w:rPr>
        <w:t xml:space="preserve"> and </w:t>
      </w:r>
      <w:r w:rsidR="005F5BBE" w:rsidRPr="00821079">
        <w:rPr>
          <w:rFonts w:ascii="Times New Roman" w:eastAsia="ArrusBT-Roman" w:hAnsi="Times New Roman" w:cs="Times New Roman"/>
        </w:rPr>
        <w:t>Mediterranean</w:t>
      </w:r>
      <w:r w:rsidRPr="00821079">
        <w:rPr>
          <w:rFonts w:ascii="Times New Roman" w:eastAsia="ArrusBT-Roman" w:hAnsi="Times New Roman" w:cs="Times New Roman"/>
        </w:rPr>
        <w:t xml:space="preserve"> belt, still thalassemias and hemoglobinopathies are very common causes of morbidity and also exert burden on expenditure.</w:t>
      </w:r>
      <w:r w:rsidR="001738F6" w:rsidRPr="00821079">
        <w:rPr>
          <w:rFonts w:ascii="Times New Roman" w:eastAsia="ArrusBT-Roman" w:hAnsi="Times New Roman" w:cs="Times New Roman"/>
        </w:rPr>
        <w:t xml:space="preserve"> To reduce the burden accurate and reliable screening procedure should be there. The diagnosis</w:t>
      </w:r>
      <w:r w:rsidR="00B60796" w:rsidRPr="00821079">
        <w:rPr>
          <w:rFonts w:ascii="Times New Roman" w:eastAsia="ArrusBT-Roman" w:hAnsi="Times New Roman" w:cs="Times New Roman"/>
        </w:rPr>
        <w:t xml:space="preserve"> of hemoglobinopathies and thal</w:t>
      </w:r>
      <w:r w:rsidR="001738F6" w:rsidRPr="00821079">
        <w:rPr>
          <w:rFonts w:ascii="Times New Roman" w:eastAsia="ArrusBT-Roman" w:hAnsi="Times New Roman" w:cs="Times New Roman"/>
        </w:rPr>
        <w:t xml:space="preserve">assemia is required to explain hematological abnormalities, identify abnormality in pre symptomatic period, preconceptional </w:t>
      </w:r>
      <w:r w:rsidR="001738F6" w:rsidRPr="00821079">
        <w:rPr>
          <w:rFonts w:ascii="Times New Roman" w:eastAsia="ArrusBT-Roman" w:hAnsi="Times New Roman" w:cs="Times New Roman"/>
        </w:rPr>
        <w:lastRenderedPageBreak/>
        <w:t>screening, screening of fetus to offer termination of pregnancy, and to confirm a presumptive diagnosis</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[12]</w:t>
      </w:r>
      <w:r w:rsidR="005C33FB" w:rsidRPr="00821079">
        <w:rPr>
          <w:rFonts w:ascii="Times New Roman" w:hAnsi="Times New Roman" w:cs="Times New Roman"/>
        </w:rPr>
        <w:t>.</w:t>
      </w:r>
    </w:p>
    <w:p w:rsidR="00A50C41" w:rsidRPr="00821079" w:rsidRDefault="00A50C41" w:rsidP="00711A7E">
      <w:pPr>
        <w:autoSpaceDE w:val="0"/>
        <w:autoSpaceDN w:val="0"/>
        <w:adjustRightInd w:val="0"/>
        <w:spacing w:after="0" w:line="240" w:lineRule="auto"/>
        <w:jc w:val="both"/>
        <w:rPr>
          <w:rFonts w:ascii="Times New Roman" w:eastAsia="ArrusBT-Roman" w:hAnsi="Times New Roman" w:cs="Times New Roman"/>
        </w:rPr>
      </w:pPr>
    </w:p>
    <w:p w:rsidR="00F85E76" w:rsidRPr="00821079" w:rsidRDefault="00F85E76" w:rsidP="00821079">
      <w:pPr>
        <w:autoSpaceDE w:val="0"/>
        <w:autoSpaceDN w:val="0"/>
        <w:adjustRightInd w:val="0"/>
        <w:spacing w:after="0" w:line="240" w:lineRule="auto"/>
        <w:ind w:firstLine="720"/>
        <w:jc w:val="both"/>
        <w:rPr>
          <w:rFonts w:ascii="Times New Roman" w:eastAsia="ArrusBT-Roman" w:hAnsi="Times New Roman" w:cs="Times New Roman"/>
          <w:vertAlign w:val="superscript"/>
        </w:rPr>
      </w:pPr>
      <w:r w:rsidRPr="00821079">
        <w:rPr>
          <w:rFonts w:ascii="Times New Roman" w:eastAsia="ArrusBT-Roman" w:hAnsi="Times New Roman" w:cs="Times New Roman"/>
        </w:rPr>
        <w:t xml:space="preserve">Naked eye single tube red cell osmotic </w:t>
      </w:r>
      <w:r w:rsidR="00B60796" w:rsidRPr="00821079">
        <w:rPr>
          <w:rFonts w:ascii="Times New Roman" w:eastAsia="ArrusBT-Roman" w:hAnsi="Times New Roman" w:cs="Times New Roman"/>
        </w:rPr>
        <w:t>fragility (</w:t>
      </w:r>
      <w:r w:rsidRPr="00821079">
        <w:rPr>
          <w:rFonts w:ascii="Times New Roman" w:eastAsia="ArrusBT-Roman" w:hAnsi="Times New Roman" w:cs="Times New Roman"/>
        </w:rPr>
        <w:t xml:space="preserve">NESTROFT) and red cell indices are helpful tests that aid in diagnosis but the result must have been supported by confirmatory test as suggested by Chakrabarti </w:t>
      </w:r>
      <w:r w:rsidR="00711A7E" w:rsidRPr="00821079">
        <w:rPr>
          <w:rFonts w:ascii="Times New Roman" w:eastAsia="ArrusBT-Roman" w:hAnsi="Times New Roman" w:cs="Times New Roman"/>
        </w:rPr>
        <w:t xml:space="preserve">et </w:t>
      </w:r>
      <w:r w:rsidRPr="00821079">
        <w:rPr>
          <w:rFonts w:ascii="Times New Roman" w:eastAsia="ArrusBT-Roman" w:hAnsi="Times New Roman" w:cs="Times New Roman"/>
        </w:rPr>
        <w:t>al</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[13]</w:t>
      </w:r>
      <w:r w:rsidRPr="00821079">
        <w:rPr>
          <w:rFonts w:ascii="Times New Roman" w:eastAsia="ArrusBT-Roman" w:hAnsi="Times New Roman" w:cs="Times New Roman"/>
        </w:rPr>
        <w:t xml:space="preserve">, </w:t>
      </w:r>
      <w:r w:rsidR="006E4102" w:rsidRPr="00821079">
        <w:rPr>
          <w:rFonts w:ascii="Times New Roman" w:eastAsia="ArrusBT-Roman" w:hAnsi="Times New Roman" w:cs="Times New Roman"/>
        </w:rPr>
        <w:t>Gorakshakar et al</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[14]</w:t>
      </w:r>
      <w:r w:rsidR="006E4102" w:rsidRPr="00821079">
        <w:rPr>
          <w:rFonts w:ascii="Times New Roman" w:eastAsia="ArrusBT-Roman" w:hAnsi="Times New Roman" w:cs="Times New Roman"/>
        </w:rPr>
        <w:t>,</w:t>
      </w:r>
      <w:r w:rsidR="00711A7E" w:rsidRPr="00821079">
        <w:rPr>
          <w:rFonts w:ascii="Times New Roman" w:eastAsia="ArrusBT-Roman" w:hAnsi="Times New Roman" w:cs="Times New Roman"/>
        </w:rPr>
        <w:t xml:space="preserve"> </w:t>
      </w:r>
      <w:r w:rsidRPr="00821079">
        <w:rPr>
          <w:rFonts w:ascii="Times New Roman" w:eastAsia="ArrusBT-Roman" w:hAnsi="Times New Roman" w:cs="Times New Roman"/>
        </w:rPr>
        <w:t xml:space="preserve">Dangi et al </w:t>
      </w:r>
      <w:r w:rsidR="005C33FB" w:rsidRPr="00C627B4">
        <w:rPr>
          <w:rFonts w:ascii="Times New Roman" w:hAnsi="Times New Roman" w:cs="Times New Roman"/>
          <w:vertAlign w:val="superscript"/>
        </w:rPr>
        <w:t>[15]</w:t>
      </w:r>
      <w:r w:rsidR="005C33FB" w:rsidRPr="00821079">
        <w:rPr>
          <w:rFonts w:ascii="Times New Roman" w:hAnsi="Times New Roman" w:cs="Times New Roman"/>
          <w:vertAlign w:val="superscript"/>
        </w:rPr>
        <w:t xml:space="preserve"> </w:t>
      </w:r>
      <w:r w:rsidRPr="00821079">
        <w:rPr>
          <w:rFonts w:ascii="Times New Roman" w:eastAsia="ArrusBT-Roman" w:hAnsi="Times New Roman" w:cs="Times New Roman"/>
        </w:rPr>
        <w:t>and other studies</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[16]</w:t>
      </w:r>
      <w:r w:rsidR="005C33FB" w:rsidRPr="00821079">
        <w:rPr>
          <w:rFonts w:ascii="Times New Roman" w:hAnsi="Times New Roman" w:cs="Times New Roman"/>
        </w:rPr>
        <w:t>.</w:t>
      </w:r>
      <w:r w:rsidR="005C33FB" w:rsidRPr="00821079">
        <w:rPr>
          <w:rFonts w:ascii="Times New Roman" w:eastAsia="ArrusBT-Roman" w:hAnsi="Times New Roman" w:cs="Times New Roman"/>
        </w:rPr>
        <w:t xml:space="preserve"> </w:t>
      </w:r>
      <w:r w:rsidR="00711A7E" w:rsidRPr="00821079">
        <w:rPr>
          <w:rFonts w:ascii="Times New Roman" w:eastAsia="ArrusBT-Roman" w:hAnsi="Times New Roman" w:cs="Times New Roman"/>
        </w:rPr>
        <w:t>Yousafzai et al</w:t>
      </w:r>
      <w:r w:rsidR="006E4102" w:rsidRPr="00821079">
        <w:rPr>
          <w:rFonts w:ascii="Times New Roman" w:eastAsia="ArrusBT-Roman" w:hAnsi="Times New Roman" w:cs="Times New Roman"/>
        </w:rPr>
        <w:t xml:space="preserve"> stated that NESTROFT is easy and simple but it is very much error prone, red cell indices also are lacking in sensitivity and specificity</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[16]</w:t>
      </w:r>
      <w:r w:rsidR="005C33FB" w:rsidRPr="00821079">
        <w:rPr>
          <w:rFonts w:ascii="Times New Roman" w:hAnsi="Times New Roman" w:cs="Times New Roman"/>
        </w:rPr>
        <w:t>.</w:t>
      </w:r>
      <w:r w:rsidR="005C33FB" w:rsidRPr="00821079">
        <w:rPr>
          <w:rFonts w:ascii="Times New Roman" w:eastAsia="ArrusBT-Roman" w:hAnsi="Times New Roman" w:cs="Times New Roman"/>
        </w:rPr>
        <w:t xml:space="preserve"> </w:t>
      </w:r>
      <w:r w:rsidR="006E4102" w:rsidRPr="00821079">
        <w:rPr>
          <w:rFonts w:ascii="Times New Roman" w:eastAsia="ArrusBT-Roman" w:hAnsi="Times New Roman" w:cs="Times New Roman"/>
        </w:rPr>
        <w:t>We have found in our study that sensitivity and specificity of mentzer index are 60.4 and 91%. Both of these are lacking in sensitivity and specificity so not used for diagnostic purpose exclusively.</w:t>
      </w:r>
    </w:p>
    <w:p w:rsidR="00F70B2D" w:rsidRPr="00821079" w:rsidRDefault="00F70B2D" w:rsidP="00711A7E">
      <w:pPr>
        <w:autoSpaceDE w:val="0"/>
        <w:autoSpaceDN w:val="0"/>
        <w:adjustRightInd w:val="0"/>
        <w:spacing w:after="0" w:line="240" w:lineRule="auto"/>
        <w:jc w:val="both"/>
        <w:rPr>
          <w:rFonts w:ascii="Times New Roman" w:eastAsia="ArrusBT-Roman" w:hAnsi="Times New Roman" w:cs="Times New Roman"/>
        </w:rPr>
      </w:pPr>
    </w:p>
    <w:p w:rsidR="00F70B2D" w:rsidRPr="00821079" w:rsidRDefault="00F70B2D"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So far, some of the common investigations done for thalassemia and hemoglobinopathies are Hb electrophoresis by </w:t>
      </w:r>
      <w:r w:rsidRPr="00821079">
        <w:rPr>
          <w:rFonts w:ascii="Times New Roman" w:hAnsi="Times New Roman" w:cs="Times New Roman"/>
        </w:rPr>
        <w:t>cellulose acetate at alkaline pH, acid electrophoresis, Hb F quantification by alkali denaturation and Hb A2 quantification by chromatography.</w:t>
      </w:r>
      <w:r w:rsidR="001F41DA" w:rsidRPr="00821079">
        <w:rPr>
          <w:rFonts w:ascii="Times New Roman" w:eastAsia="ArrusBT-Roman" w:hAnsi="Times New Roman" w:cs="Times New Roman"/>
        </w:rPr>
        <w:t xml:space="preserve"> </w:t>
      </w:r>
      <w:r w:rsidRPr="00821079">
        <w:rPr>
          <w:rFonts w:ascii="Times New Roman" w:eastAsia="ArrusBT-Roman" w:hAnsi="Times New Roman" w:cs="Times New Roman"/>
        </w:rPr>
        <w:t xml:space="preserve">These all methods have certain </w:t>
      </w:r>
      <w:r w:rsidR="0080763B" w:rsidRPr="00821079">
        <w:rPr>
          <w:rFonts w:ascii="Times New Roman" w:eastAsia="ArrusBT-Roman" w:hAnsi="Times New Roman" w:cs="Times New Roman"/>
        </w:rPr>
        <w:t>limitations;</w:t>
      </w:r>
      <w:r w:rsidRPr="00821079">
        <w:rPr>
          <w:rFonts w:ascii="Times New Roman" w:eastAsia="ArrusBT-Roman" w:hAnsi="Times New Roman" w:cs="Times New Roman"/>
        </w:rPr>
        <w:t xml:space="preserve"> </w:t>
      </w:r>
      <w:r w:rsidR="005F67C4" w:rsidRPr="00821079">
        <w:rPr>
          <w:rFonts w:ascii="Times New Roman" w:eastAsia="ArrusBT-Roman" w:hAnsi="Times New Roman" w:cs="Times New Roman"/>
        </w:rPr>
        <w:t xml:space="preserve">these methods are totally dependent on the performer’s expertise. So variability of the result is there. Even with the same performer, the bands are not exactly positioned on the same </w:t>
      </w:r>
      <w:r w:rsidR="0080763B" w:rsidRPr="00821079">
        <w:rPr>
          <w:rFonts w:ascii="Times New Roman" w:eastAsia="ArrusBT-Roman" w:hAnsi="Times New Roman" w:cs="Times New Roman"/>
        </w:rPr>
        <w:t>area (</w:t>
      </w:r>
      <w:r w:rsidR="006B73E6" w:rsidRPr="00821079">
        <w:rPr>
          <w:rFonts w:ascii="Times New Roman" w:eastAsia="ArrusBT-Roman" w:hAnsi="Times New Roman" w:cs="Times New Roman"/>
        </w:rPr>
        <w:t>reproducibility is low)</w:t>
      </w:r>
      <w:r w:rsidR="005F67C4" w:rsidRPr="00821079">
        <w:rPr>
          <w:rFonts w:ascii="Times New Roman" w:eastAsia="ArrusBT-Roman" w:hAnsi="Times New Roman" w:cs="Times New Roman"/>
        </w:rPr>
        <w:t>. To differentiate between hemoglobins that have same electr</w:t>
      </w:r>
      <w:r w:rsidR="006E56E7" w:rsidRPr="00821079">
        <w:rPr>
          <w:rFonts w:ascii="Times New Roman" w:eastAsia="ArrusBT-Roman" w:hAnsi="Times New Roman" w:cs="Times New Roman"/>
        </w:rPr>
        <w:t xml:space="preserve">ophoretic mobility is difficult </w:t>
      </w:r>
      <w:r w:rsidR="0080763B" w:rsidRPr="00821079">
        <w:rPr>
          <w:rFonts w:ascii="Times New Roman" w:eastAsia="ArrusBT-Roman" w:hAnsi="Times New Roman" w:cs="Times New Roman"/>
        </w:rPr>
        <w:t>and the</w:t>
      </w:r>
      <w:r w:rsidR="005F67C4" w:rsidRPr="00821079">
        <w:rPr>
          <w:rFonts w:ascii="Times New Roman" w:eastAsia="ArrusBT-Roman" w:hAnsi="Times New Roman" w:cs="Times New Roman"/>
        </w:rPr>
        <w:t xml:space="preserve"> control with known variant hemoglobin </w:t>
      </w:r>
      <w:r w:rsidR="006E56E7" w:rsidRPr="00821079">
        <w:rPr>
          <w:rFonts w:ascii="Times New Roman" w:eastAsia="ArrusBT-Roman" w:hAnsi="Times New Roman" w:cs="Times New Roman"/>
        </w:rPr>
        <w:t xml:space="preserve">or multiple stored known controls </w:t>
      </w:r>
      <w:r w:rsidR="005F67C4" w:rsidRPr="00821079">
        <w:rPr>
          <w:rFonts w:ascii="Times New Roman" w:eastAsia="ArrusBT-Roman" w:hAnsi="Times New Roman" w:cs="Times New Roman"/>
        </w:rPr>
        <w:t xml:space="preserve">is required to be run every time with </w:t>
      </w:r>
      <w:r w:rsidR="0080763B" w:rsidRPr="00821079">
        <w:rPr>
          <w:rFonts w:ascii="Times New Roman" w:eastAsia="ArrusBT-Roman" w:hAnsi="Times New Roman" w:cs="Times New Roman"/>
        </w:rPr>
        <w:t>patient’s</w:t>
      </w:r>
      <w:r w:rsidR="005F67C4" w:rsidRPr="00821079">
        <w:rPr>
          <w:rFonts w:ascii="Times New Roman" w:eastAsia="ArrusBT-Roman" w:hAnsi="Times New Roman" w:cs="Times New Roman"/>
        </w:rPr>
        <w:t xml:space="preserve"> sample. It is very difficult to get a single control for comparison with all the variant hemoglobin in it</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[17]</w:t>
      </w:r>
      <w:r w:rsidR="005C33FB" w:rsidRPr="00821079">
        <w:rPr>
          <w:rFonts w:ascii="Times New Roman" w:hAnsi="Times New Roman" w:cs="Times New Roman"/>
        </w:rPr>
        <w:t>.</w:t>
      </w:r>
      <w:r w:rsidR="005C33FB" w:rsidRPr="00821079">
        <w:rPr>
          <w:rFonts w:ascii="Times New Roman" w:eastAsia="ArrusBT-Roman" w:hAnsi="Times New Roman" w:cs="Times New Roman"/>
        </w:rPr>
        <w:t xml:space="preserve"> </w:t>
      </w:r>
      <w:r w:rsidR="006E56E7" w:rsidRPr="00821079">
        <w:rPr>
          <w:rFonts w:ascii="Times New Roman" w:eastAsia="ArrusBT-Roman" w:hAnsi="Times New Roman" w:cs="Times New Roman"/>
        </w:rPr>
        <w:t xml:space="preserve">It is also nearly impossible to run many samples in a single run. These methods are also time consuming. </w:t>
      </w:r>
      <w:r w:rsidR="006B73E6" w:rsidRPr="00821079">
        <w:rPr>
          <w:rFonts w:ascii="Times New Roman" w:eastAsia="ArrusBT-Roman" w:hAnsi="Times New Roman" w:cs="Times New Roman"/>
        </w:rPr>
        <w:t>Compound heterozygous or double heterozygous states and unusual hemoglobin variants are all clinically important to diagnose, so exact identification of them is very important</w:t>
      </w:r>
      <w:r w:rsidR="005C33FB" w:rsidRPr="00821079">
        <w:rPr>
          <w:rFonts w:ascii="Times New Roman" w:eastAsia="ArrusBT-Roman" w:hAnsi="Times New Roman" w:cs="Times New Roman"/>
        </w:rPr>
        <w:t xml:space="preserve"> </w:t>
      </w:r>
      <w:r w:rsidR="00C627B4" w:rsidRPr="00C627B4">
        <w:rPr>
          <w:rFonts w:ascii="Times New Roman" w:hAnsi="Times New Roman" w:cs="Times New Roman"/>
          <w:vertAlign w:val="superscript"/>
        </w:rPr>
        <w:t>[18,</w:t>
      </w:r>
      <w:r w:rsidR="005C33FB" w:rsidRPr="00C627B4">
        <w:rPr>
          <w:rFonts w:ascii="Times New Roman" w:hAnsi="Times New Roman" w:cs="Times New Roman"/>
          <w:vertAlign w:val="superscript"/>
        </w:rPr>
        <w:t>19]</w:t>
      </w:r>
      <w:r w:rsidR="005C33FB" w:rsidRPr="00821079">
        <w:rPr>
          <w:rFonts w:ascii="Times New Roman" w:hAnsi="Times New Roman" w:cs="Times New Roman"/>
        </w:rPr>
        <w:t>.</w:t>
      </w:r>
      <w:r w:rsidR="005C33FB" w:rsidRPr="00821079">
        <w:rPr>
          <w:rFonts w:ascii="Times New Roman" w:eastAsia="ArrusBT-Roman" w:hAnsi="Times New Roman" w:cs="Times New Roman"/>
        </w:rPr>
        <w:t xml:space="preserve"> </w:t>
      </w:r>
      <w:r w:rsidR="006B73E6" w:rsidRPr="00821079">
        <w:rPr>
          <w:rFonts w:ascii="Times New Roman" w:eastAsia="ArrusBT-Roman" w:hAnsi="Times New Roman" w:cs="Times New Roman"/>
        </w:rPr>
        <w:t>With single electrophoretic method none out of these variants can be identified precisely</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[20]</w:t>
      </w:r>
      <w:r w:rsidR="005C33FB" w:rsidRPr="00821079">
        <w:rPr>
          <w:rFonts w:ascii="Times New Roman" w:hAnsi="Times New Roman" w:cs="Times New Roman"/>
        </w:rPr>
        <w:t>.</w:t>
      </w:r>
      <w:r w:rsidR="005C33FB" w:rsidRPr="00821079">
        <w:rPr>
          <w:rFonts w:ascii="Times New Roman" w:eastAsia="ArrusBT-Roman" w:hAnsi="Times New Roman" w:cs="Times New Roman"/>
        </w:rPr>
        <w:t xml:space="preserve"> </w:t>
      </w:r>
      <w:r w:rsidR="00FC7069" w:rsidRPr="00821079">
        <w:rPr>
          <w:rFonts w:ascii="Times New Roman" w:eastAsia="ArrusBT-Roman" w:hAnsi="Times New Roman" w:cs="Times New Roman"/>
        </w:rPr>
        <w:t>Cation exchange high performance</w:t>
      </w:r>
      <w:r w:rsidR="006B73E6" w:rsidRPr="00821079">
        <w:rPr>
          <w:rFonts w:ascii="Times New Roman" w:eastAsia="ArrusBT-Roman" w:hAnsi="Times New Roman" w:cs="Times New Roman"/>
        </w:rPr>
        <w:t xml:space="preserve"> </w:t>
      </w:r>
      <w:r w:rsidR="00FC7069" w:rsidRPr="00821079">
        <w:rPr>
          <w:rFonts w:ascii="Times New Roman" w:eastAsia="ArrusBT-Roman" w:hAnsi="Times New Roman" w:cs="Times New Roman"/>
        </w:rPr>
        <w:t>liquid chromatography has high sensitivity, specificity and also is reproducible compared to hemoglobin electrophoresis</w:t>
      </w:r>
      <w:r w:rsidR="005C33FB" w:rsidRPr="00821079">
        <w:rPr>
          <w:rFonts w:ascii="Times New Roman" w:eastAsia="ArrusBT-Roman" w:hAnsi="Times New Roman" w:cs="Times New Roman"/>
        </w:rPr>
        <w:t xml:space="preserve"> </w:t>
      </w:r>
      <w:r w:rsidR="005C33FB" w:rsidRPr="00C627B4">
        <w:rPr>
          <w:rFonts w:ascii="Times New Roman" w:hAnsi="Times New Roman" w:cs="Times New Roman"/>
          <w:vertAlign w:val="superscript"/>
        </w:rPr>
        <w:t>[21]</w:t>
      </w:r>
      <w:r w:rsidR="005C33FB" w:rsidRPr="00821079">
        <w:rPr>
          <w:rFonts w:ascii="Times New Roman" w:hAnsi="Times New Roman" w:cs="Times New Roman"/>
        </w:rPr>
        <w:t>.</w:t>
      </w:r>
    </w:p>
    <w:p w:rsidR="005F67C4" w:rsidRPr="00821079" w:rsidRDefault="005F67C4" w:rsidP="009711BD">
      <w:pPr>
        <w:autoSpaceDE w:val="0"/>
        <w:autoSpaceDN w:val="0"/>
        <w:adjustRightInd w:val="0"/>
        <w:spacing w:after="0" w:line="240" w:lineRule="auto"/>
        <w:jc w:val="both"/>
        <w:rPr>
          <w:rFonts w:ascii="Times New Roman" w:eastAsia="ArrusBT-Roman" w:hAnsi="Times New Roman" w:cs="Times New Roman"/>
        </w:rPr>
      </w:pPr>
    </w:p>
    <w:p w:rsidR="00C4238E" w:rsidRPr="00821079" w:rsidRDefault="00C4238E" w:rsidP="00821079">
      <w:pPr>
        <w:autoSpaceDE w:val="0"/>
        <w:autoSpaceDN w:val="0"/>
        <w:adjustRightInd w:val="0"/>
        <w:spacing w:after="0" w:line="240" w:lineRule="auto"/>
        <w:ind w:firstLine="720"/>
        <w:jc w:val="both"/>
        <w:rPr>
          <w:rFonts w:ascii="Times New Roman" w:eastAsia="ArrusBT-Roman" w:hAnsi="Times New Roman" w:cs="Times New Roman"/>
          <w:vertAlign w:val="superscript"/>
        </w:rPr>
      </w:pPr>
      <w:r w:rsidRPr="00821079">
        <w:rPr>
          <w:rFonts w:ascii="Times New Roman" w:eastAsia="ArrusBT-Roman" w:hAnsi="Times New Roman" w:cs="Times New Roman"/>
        </w:rPr>
        <w:t xml:space="preserve">Total 386 </w:t>
      </w:r>
      <w:r w:rsidR="0080763B" w:rsidRPr="00821079">
        <w:rPr>
          <w:rFonts w:ascii="Times New Roman" w:eastAsia="ArrusBT-Roman" w:hAnsi="Times New Roman" w:cs="Times New Roman"/>
        </w:rPr>
        <w:t>cases (</w:t>
      </w:r>
      <w:r w:rsidRPr="00821079">
        <w:rPr>
          <w:rFonts w:ascii="Times New Roman" w:eastAsia="ArrusBT-Roman" w:hAnsi="Times New Roman" w:cs="Times New Roman"/>
        </w:rPr>
        <w:t>18.96%) were diagnosed with some hemoglobin variants. Out of which beta thalassemia trait cases were 216(10.61%). This proves antenatal screening of va</w:t>
      </w:r>
      <w:r w:rsidR="0035105E" w:rsidRPr="00821079">
        <w:rPr>
          <w:rFonts w:ascii="Times New Roman" w:eastAsia="ArrusBT-Roman" w:hAnsi="Times New Roman" w:cs="Times New Roman"/>
        </w:rPr>
        <w:t>lue to prevent potential offspr</w:t>
      </w:r>
      <w:r w:rsidRPr="00821079">
        <w:rPr>
          <w:rFonts w:ascii="Times New Roman" w:eastAsia="ArrusBT-Roman" w:hAnsi="Times New Roman" w:cs="Times New Roman"/>
        </w:rPr>
        <w:t xml:space="preserve">ing with thalassemia major. </w:t>
      </w:r>
      <w:r w:rsidR="0035105E" w:rsidRPr="00821079">
        <w:rPr>
          <w:rFonts w:ascii="Times New Roman" w:eastAsia="ArrusBT-Roman" w:hAnsi="Times New Roman" w:cs="Times New Roman"/>
        </w:rPr>
        <w:t xml:space="preserve">Borderline Hb A2 </w:t>
      </w:r>
      <w:r w:rsidR="0080763B" w:rsidRPr="00821079">
        <w:rPr>
          <w:rFonts w:ascii="Times New Roman" w:eastAsia="ArrusBT-Roman" w:hAnsi="Times New Roman" w:cs="Times New Roman"/>
        </w:rPr>
        <w:t>requires</w:t>
      </w:r>
      <w:r w:rsidR="0035105E" w:rsidRPr="00821079">
        <w:rPr>
          <w:rFonts w:ascii="Times New Roman" w:eastAsia="ArrusBT-Roman" w:hAnsi="Times New Roman" w:cs="Times New Roman"/>
        </w:rPr>
        <w:t xml:space="preserve"> further investigation before reaching out on conclusion. Studies have suggested both iron deficiency anemia and megaloblastic anemia may have an effect on level of Hb A2</w:t>
      </w:r>
      <w:r w:rsidR="00D91F5C" w:rsidRPr="00821079">
        <w:rPr>
          <w:rFonts w:ascii="Times New Roman" w:eastAsia="ArrusBT-Roman" w:hAnsi="Times New Roman" w:cs="Times New Roman"/>
        </w:rPr>
        <w:t>;</w:t>
      </w:r>
      <w:r w:rsidR="0035105E" w:rsidRPr="00821079">
        <w:rPr>
          <w:rFonts w:ascii="Times New Roman" w:eastAsia="ArrusBT-Roman" w:hAnsi="Times New Roman" w:cs="Times New Roman"/>
        </w:rPr>
        <w:t xml:space="preserve"> iron deficiency anemia can mildly reduce and megaloblastic anemia can mildly increase</w:t>
      </w:r>
      <w:r w:rsidR="005C33FB" w:rsidRPr="00821079">
        <w:rPr>
          <w:rFonts w:ascii="Times New Roman" w:eastAsia="ArrusBT-Roman" w:hAnsi="Times New Roman" w:cs="Times New Roman"/>
        </w:rPr>
        <w:t xml:space="preserve"> </w:t>
      </w:r>
      <w:r w:rsidR="00C627B4">
        <w:rPr>
          <w:rFonts w:ascii="Times New Roman" w:hAnsi="Times New Roman" w:cs="Times New Roman"/>
          <w:vertAlign w:val="superscript"/>
        </w:rPr>
        <w:t>[22,23,24</w:t>
      </w:r>
      <w:r w:rsidR="005C33FB" w:rsidRPr="00C627B4">
        <w:rPr>
          <w:rFonts w:ascii="Times New Roman" w:hAnsi="Times New Roman" w:cs="Times New Roman"/>
          <w:vertAlign w:val="superscript"/>
        </w:rPr>
        <w:t>25]</w:t>
      </w:r>
      <w:r w:rsidR="005C33FB" w:rsidRPr="00821079">
        <w:rPr>
          <w:rFonts w:ascii="Times New Roman" w:hAnsi="Times New Roman" w:cs="Times New Roman"/>
        </w:rPr>
        <w:t>.</w:t>
      </w:r>
    </w:p>
    <w:p w:rsidR="00FC7069" w:rsidRPr="00821079" w:rsidRDefault="00FC7069" w:rsidP="009711BD">
      <w:pPr>
        <w:autoSpaceDE w:val="0"/>
        <w:autoSpaceDN w:val="0"/>
        <w:adjustRightInd w:val="0"/>
        <w:spacing w:after="0" w:line="240" w:lineRule="auto"/>
        <w:jc w:val="both"/>
        <w:rPr>
          <w:rFonts w:ascii="Times New Roman" w:eastAsia="ArrusBT-Roman" w:hAnsi="Times New Roman" w:cs="Times New Roman"/>
        </w:rPr>
      </w:pPr>
    </w:p>
    <w:p w:rsidR="00267768" w:rsidRPr="00821079" w:rsidRDefault="00267768"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Different studies by </w:t>
      </w:r>
      <w:r w:rsidRPr="00821079">
        <w:rPr>
          <w:rFonts w:ascii="Times New Roman" w:hAnsi="Times New Roman" w:cs="Times New Roman"/>
        </w:rPr>
        <w:t>Sachdev et al</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[26]</w:t>
      </w:r>
      <w:r w:rsidRPr="00821079">
        <w:rPr>
          <w:rFonts w:ascii="Times New Roman" w:hAnsi="Times New Roman" w:cs="Times New Roman"/>
        </w:rPr>
        <w:t>, Rao et al</w:t>
      </w:r>
      <w:r w:rsidR="005C33FB" w:rsidRPr="00821079">
        <w:rPr>
          <w:rFonts w:ascii="Times New Roman" w:hAnsi="Times New Roman" w:cs="Times New Roman"/>
        </w:rPr>
        <w:t xml:space="preserve"> </w:t>
      </w:r>
      <w:r w:rsidR="005C33FB" w:rsidRPr="00C627B4">
        <w:rPr>
          <w:rFonts w:ascii="Times New Roman" w:hAnsi="Times New Roman" w:cs="Times New Roman"/>
          <w:vertAlign w:val="superscript"/>
        </w:rPr>
        <w:t>[27]</w:t>
      </w:r>
      <w:r w:rsidR="00A763D1" w:rsidRPr="00821079">
        <w:rPr>
          <w:rFonts w:ascii="Times New Roman" w:hAnsi="Times New Roman" w:cs="Times New Roman"/>
        </w:rPr>
        <w:t>,</w:t>
      </w:r>
      <w:r w:rsidRPr="00821079">
        <w:rPr>
          <w:rFonts w:ascii="Times New Roman" w:hAnsi="Times New Roman" w:cs="Times New Roman"/>
        </w:rPr>
        <w:t xml:space="preserve"> Dolai et al</w:t>
      </w:r>
      <w:r w:rsidR="00A763D1" w:rsidRPr="00821079">
        <w:rPr>
          <w:rFonts w:ascii="Times New Roman" w:hAnsi="Times New Roman" w:cs="Times New Roman"/>
        </w:rPr>
        <w:t xml:space="preserve"> </w:t>
      </w:r>
      <w:r w:rsidR="005C33FB" w:rsidRPr="00C627B4">
        <w:rPr>
          <w:rFonts w:ascii="Times New Roman" w:hAnsi="Times New Roman" w:cs="Times New Roman"/>
          <w:vertAlign w:val="superscript"/>
        </w:rPr>
        <w:t>[28]</w:t>
      </w:r>
      <w:r w:rsidR="005C33FB" w:rsidRPr="00821079">
        <w:rPr>
          <w:rFonts w:ascii="Times New Roman" w:hAnsi="Times New Roman" w:cs="Times New Roman"/>
          <w:vertAlign w:val="superscript"/>
        </w:rPr>
        <w:t xml:space="preserve"> </w:t>
      </w:r>
      <w:r w:rsidR="00A763D1" w:rsidRPr="00821079">
        <w:rPr>
          <w:rFonts w:ascii="Times New Roman" w:hAnsi="Times New Roman" w:cs="Times New Roman"/>
        </w:rPr>
        <w:t xml:space="preserve">and </w:t>
      </w:r>
      <w:r w:rsidR="00427751" w:rsidRPr="00821079">
        <w:rPr>
          <w:rFonts w:ascii="Times New Roman" w:eastAsia="Times New Roman" w:hAnsi="Times New Roman" w:cs="Times New Roman"/>
        </w:rPr>
        <w:t>Mukhopadhyay</w:t>
      </w:r>
      <w:r w:rsidR="00A763D1" w:rsidRPr="00821079">
        <w:rPr>
          <w:rFonts w:ascii="Times New Roman" w:hAnsi="Times New Roman" w:cs="Times New Roman"/>
        </w:rPr>
        <w:t xml:space="preserve"> et al </w:t>
      </w:r>
      <w:r w:rsidR="005C33FB" w:rsidRPr="00C627B4">
        <w:rPr>
          <w:rFonts w:ascii="Times New Roman" w:hAnsi="Times New Roman" w:cs="Times New Roman"/>
          <w:vertAlign w:val="superscript"/>
        </w:rPr>
        <w:t>[29]</w:t>
      </w:r>
      <w:r w:rsidR="005C33FB" w:rsidRPr="00821079">
        <w:rPr>
          <w:rFonts w:ascii="Times New Roman" w:hAnsi="Times New Roman" w:cs="Times New Roman"/>
        </w:rPr>
        <w:t xml:space="preserve"> </w:t>
      </w:r>
      <w:r w:rsidR="00A763D1" w:rsidRPr="00821079">
        <w:rPr>
          <w:rFonts w:ascii="Times New Roman" w:hAnsi="Times New Roman" w:cs="Times New Roman"/>
        </w:rPr>
        <w:t>have taken 2600, 800, 35413 and 10407 cases respectively for their study.</w:t>
      </w:r>
      <w:r w:rsidR="005C33FB" w:rsidRPr="00821079">
        <w:rPr>
          <w:rFonts w:ascii="Times New Roman" w:hAnsi="Times New Roman" w:cs="Times New Roman"/>
          <w:vertAlign w:val="superscript"/>
        </w:rPr>
        <w:t xml:space="preserve"> </w:t>
      </w:r>
      <w:r w:rsidR="00A763D1" w:rsidRPr="00821079">
        <w:rPr>
          <w:rFonts w:ascii="Times New Roman" w:hAnsi="Times New Roman" w:cs="Times New Roman"/>
        </w:rPr>
        <w:t xml:space="preserve">Sachdev et al </w:t>
      </w:r>
      <w:r w:rsidR="00394F9E" w:rsidRPr="00BC4180">
        <w:rPr>
          <w:rFonts w:ascii="Times New Roman" w:hAnsi="Times New Roman" w:cs="Times New Roman"/>
          <w:vertAlign w:val="superscript"/>
        </w:rPr>
        <w:t>[26]</w:t>
      </w:r>
      <w:r w:rsidR="00AC0013" w:rsidRPr="00821079">
        <w:rPr>
          <w:rFonts w:ascii="Times New Roman" w:hAnsi="Times New Roman" w:cs="Times New Roman"/>
        </w:rPr>
        <w:t xml:space="preserve">, Jain et al </w:t>
      </w:r>
      <w:r w:rsidR="00394F9E" w:rsidRPr="00BC4180">
        <w:rPr>
          <w:rFonts w:ascii="Times New Roman" w:hAnsi="Times New Roman" w:cs="Times New Roman"/>
          <w:vertAlign w:val="superscript"/>
        </w:rPr>
        <w:t>[30]</w:t>
      </w:r>
      <w:r w:rsidR="00394F9E" w:rsidRPr="00821079">
        <w:rPr>
          <w:rFonts w:ascii="Times New Roman" w:hAnsi="Times New Roman" w:cs="Times New Roman"/>
        </w:rPr>
        <w:t xml:space="preserve"> </w:t>
      </w:r>
      <w:r w:rsidR="00AC0013" w:rsidRPr="00821079">
        <w:rPr>
          <w:rFonts w:ascii="Times New Roman" w:hAnsi="Times New Roman" w:cs="Times New Roman"/>
        </w:rPr>
        <w:t xml:space="preserve">and </w:t>
      </w:r>
      <w:r w:rsidR="00427751" w:rsidRPr="00821079">
        <w:rPr>
          <w:rFonts w:ascii="Times New Roman" w:eastAsia="Times New Roman" w:hAnsi="Times New Roman" w:cs="Times New Roman"/>
        </w:rPr>
        <w:t>Mukhopadhyay</w:t>
      </w:r>
      <w:r w:rsidR="00AC0013" w:rsidRPr="00821079">
        <w:rPr>
          <w:rFonts w:ascii="Times New Roman" w:hAnsi="Times New Roman" w:cs="Times New Roman"/>
        </w:rPr>
        <w:t xml:space="preserve"> et al </w:t>
      </w:r>
      <w:r w:rsidR="00394F9E" w:rsidRPr="00BC4180">
        <w:rPr>
          <w:rFonts w:ascii="Times New Roman" w:hAnsi="Times New Roman" w:cs="Times New Roman"/>
          <w:vertAlign w:val="superscript"/>
        </w:rPr>
        <w:t>[29]</w:t>
      </w:r>
      <w:r w:rsidR="00394F9E" w:rsidRPr="00821079">
        <w:rPr>
          <w:rFonts w:ascii="Times New Roman" w:hAnsi="Times New Roman" w:cs="Times New Roman"/>
        </w:rPr>
        <w:t xml:space="preserve"> </w:t>
      </w:r>
      <w:r w:rsidR="00A763D1" w:rsidRPr="00821079">
        <w:rPr>
          <w:rFonts w:ascii="Times New Roman" w:hAnsi="Times New Roman" w:cs="Times New Roman"/>
        </w:rPr>
        <w:t>found 12.57%</w:t>
      </w:r>
      <w:r w:rsidR="00AC0013" w:rsidRPr="00821079">
        <w:rPr>
          <w:rFonts w:ascii="Times New Roman" w:hAnsi="Times New Roman" w:cs="Times New Roman"/>
        </w:rPr>
        <w:t>, 29.3 % and 14.5% abnormal hemoglobin fractions respectively.</w:t>
      </w:r>
      <w:r w:rsidR="00394F9E" w:rsidRPr="00821079">
        <w:rPr>
          <w:rFonts w:ascii="Times New Roman" w:hAnsi="Times New Roman" w:cs="Times New Roman"/>
          <w:vertAlign w:val="superscript"/>
        </w:rPr>
        <w:t xml:space="preserve"> </w:t>
      </w:r>
      <w:r w:rsidR="00AC0013" w:rsidRPr="00821079">
        <w:rPr>
          <w:rFonts w:ascii="Times New Roman" w:hAnsi="Times New Roman" w:cs="Times New Roman"/>
        </w:rPr>
        <w:t>Sachdev et al</w:t>
      </w:r>
      <w:r w:rsidR="00394F9E" w:rsidRPr="00821079">
        <w:rPr>
          <w:rFonts w:ascii="Times New Roman" w:hAnsi="Times New Roman" w:cs="Times New Roman"/>
        </w:rPr>
        <w:t xml:space="preserve"> </w:t>
      </w:r>
      <w:r w:rsidR="00394F9E" w:rsidRPr="00BC4180">
        <w:rPr>
          <w:rFonts w:ascii="Times New Roman" w:hAnsi="Times New Roman" w:cs="Times New Roman"/>
          <w:vertAlign w:val="superscript"/>
        </w:rPr>
        <w:t>[26]</w:t>
      </w:r>
      <w:r w:rsidR="00AC0013" w:rsidRPr="00821079">
        <w:rPr>
          <w:rFonts w:ascii="Times New Roman" w:hAnsi="Times New Roman" w:cs="Times New Roman"/>
        </w:rPr>
        <w:t>, Rao et al</w:t>
      </w:r>
      <w:r w:rsidR="00394F9E" w:rsidRPr="00821079">
        <w:rPr>
          <w:rFonts w:ascii="Times New Roman" w:hAnsi="Times New Roman" w:cs="Times New Roman"/>
        </w:rPr>
        <w:t xml:space="preserve"> </w:t>
      </w:r>
      <w:r w:rsidR="00394F9E" w:rsidRPr="00BC4180">
        <w:rPr>
          <w:rFonts w:ascii="Times New Roman" w:hAnsi="Times New Roman" w:cs="Times New Roman"/>
          <w:vertAlign w:val="superscript"/>
        </w:rPr>
        <w:t>[27]</w:t>
      </w:r>
      <w:r w:rsidR="00AC0013" w:rsidRPr="00821079">
        <w:rPr>
          <w:rFonts w:ascii="Times New Roman" w:hAnsi="Times New Roman" w:cs="Times New Roman"/>
        </w:rPr>
        <w:t xml:space="preserve">, Dolai et al </w:t>
      </w:r>
      <w:r w:rsidR="00394F9E" w:rsidRPr="00BC4180">
        <w:rPr>
          <w:rFonts w:ascii="Times New Roman" w:hAnsi="Times New Roman" w:cs="Times New Roman"/>
          <w:vertAlign w:val="superscript"/>
        </w:rPr>
        <w:t>[28]</w:t>
      </w:r>
      <w:r w:rsidR="00394F9E" w:rsidRPr="00821079">
        <w:rPr>
          <w:rFonts w:ascii="Times New Roman" w:hAnsi="Times New Roman" w:cs="Times New Roman"/>
        </w:rPr>
        <w:t xml:space="preserve"> </w:t>
      </w:r>
      <w:r w:rsidR="00AC0013" w:rsidRPr="00821079">
        <w:rPr>
          <w:rFonts w:ascii="Times New Roman" w:hAnsi="Times New Roman" w:cs="Times New Roman"/>
        </w:rPr>
        <w:t xml:space="preserve">and </w:t>
      </w:r>
      <w:r w:rsidR="00427751" w:rsidRPr="00821079">
        <w:rPr>
          <w:rFonts w:ascii="Times New Roman" w:eastAsia="Times New Roman" w:hAnsi="Times New Roman" w:cs="Times New Roman"/>
        </w:rPr>
        <w:t>Mukhopadhyay</w:t>
      </w:r>
      <w:r w:rsidR="00AC0013" w:rsidRPr="00821079">
        <w:rPr>
          <w:rFonts w:ascii="Times New Roman" w:hAnsi="Times New Roman" w:cs="Times New Roman"/>
        </w:rPr>
        <w:t xml:space="preserve"> et al </w:t>
      </w:r>
      <w:r w:rsidR="00394F9E" w:rsidRPr="00BC4180">
        <w:rPr>
          <w:rFonts w:ascii="Times New Roman" w:hAnsi="Times New Roman" w:cs="Times New Roman"/>
          <w:vertAlign w:val="superscript"/>
        </w:rPr>
        <w:t>[29]</w:t>
      </w:r>
      <w:r w:rsidR="00394F9E" w:rsidRPr="00821079">
        <w:rPr>
          <w:rFonts w:ascii="Times New Roman" w:hAnsi="Times New Roman" w:cs="Times New Roman"/>
        </w:rPr>
        <w:t xml:space="preserve"> </w:t>
      </w:r>
      <w:r w:rsidR="00AC0013" w:rsidRPr="00821079">
        <w:rPr>
          <w:rFonts w:ascii="Times New Roman" w:hAnsi="Times New Roman" w:cs="Times New Roman"/>
        </w:rPr>
        <w:t>found beta thalassemia trait cases to be 8.9 %,18.1 %,10.38 % and 5.6 % respectively.</w:t>
      </w:r>
      <w:r w:rsidR="00394F9E" w:rsidRPr="00821079">
        <w:rPr>
          <w:rFonts w:ascii="Times New Roman" w:hAnsi="Times New Roman" w:cs="Times New Roman"/>
          <w:vertAlign w:val="superscript"/>
        </w:rPr>
        <w:t xml:space="preserve"> </w:t>
      </w:r>
      <w:r w:rsidR="00AC0013" w:rsidRPr="00821079">
        <w:rPr>
          <w:rFonts w:ascii="Times New Roman" w:hAnsi="Times New Roman" w:cs="Times New Roman"/>
        </w:rPr>
        <w:t xml:space="preserve">Our findings are comparable to these different Indian studies. </w:t>
      </w:r>
    </w:p>
    <w:p w:rsidR="00267768" w:rsidRPr="00821079" w:rsidRDefault="00267768" w:rsidP="00267768">
      <w:pPr>
        <w:autoSpaceDE w:val="0"/>
        <w:autoSpaceDN w:val="0"/>
        <w:adjustRightInd w:val="0"/>
        <w:spacing w:after="0" w:line="240" w:lineRule="auto"/>
        <w:jc w:val="both"/>
        <w:rPr>
          <w:rFonts w:ascii="Times New Roman" w:hAnsi="Times New Roman" w:cs="Times New Roman"/>
        </w:rPr>
      </w:pPr>
    </w:p>
    <w:p w:rsidR="00DB5A0A" w:rsidRPr="00821079" w:rsidRDefault="009C73CD" w:rsidP="009C73CD">
      <w:pPr>
        <w:autoSpaceDE w:val="0"/>
        <w:autoSpaceDN w:val="0"/>
        <w:adjustRightInd w:val="0"/>
        <w:spacing w:after="0" w:line="240" w:lineRule="auto"/>
        <w:rPr>
          <w:rFonts w:ascii="Times New Roman" w:eastAsia="ArrusBT-Roman" w:hAnsi="Times New Roman" w:cs="Times New Roman"/>
          <w:b/>
          <w:bCs/>
        </w:rPr>
      </w:pPr>
      <w:r w:rsidRPr="00821079">
        <w:rPr>
          <w:rFonts w:ascii="Times New Roman" w:eastAsia="ArrusBT-Roman" w:hAnsi="Times New Roman" w:cs="Times New Roman"/>
          <w:b/>
          <w:bCs/>
        </w:rPr>
        <w:t>CONCLUSION</w:t>
      </w:r>
    </w:p>
    <w:p w:rsidR="00F51747" w:rsidRPr="00821079" w:rsidRDefault="00F51747" w:rsidP="009711BD">
      <w:pPr>
        <w:autoSpaceDE w:val="0"/>
        <w:autoSpaceDN w:val="0"/>
        <w:adjustRightInd w:val="0"/>
        <w:spacing w:after="0" w:line="240" w:lineRule="auto"/>
        <w:jc w:val="both"/>
        <w:rPr>
          <w:rFonts w:ascii="Times New Roman" w:eastAsia="ArrusBT-Roman" w:hAnsi="Times New Roman" w:cs="Times New Roman"/>
        </w:rPr>
      </w:pPr>
    </w:p>
    <w:p w:rsidR="009F380A" w:rsidRPr="00821079" w:rsidRDefault="00F51747" w:rsidP="00821079">
      <w:pPr>
        <w:autoSpaceDE w:val="0"/>
        <w:autoSpaceDN w:val="0"/>
        <w:adjustRightInd w:val="0"/>
        <w:spacing w:after="0" w:line="240" w:lineRule="auto"/>
        <w:ind w:firstLine="720"/>
        <w:jc w:val="both"/>
        <w:rPr>
          <w:rFonts w:ascii="Times New Roman" w:eastAsia="ArrusBT-Roman" w:hAnsi="Times New Roman" w:cs="Times New Roman"/>
        </w:rPr>
      </w:pPr>
      <w:r w:rsidRPr="00821079">
        <w:rPr>
          <w:rFonts w:ascii="Times New Roman" w:eastAsia="ArrusBT-Roman" w:hAnsi="Times New Roman" w:cs="Times New Roman"/>
        </w:rPr>
        <w:t xml:space="preserve">To conclude, cation exchange high performance liquid chromatography is less time consuming, cost effective, </w:t>
      </w:r>
      <w:r w:rsidR="001F41DA" w:rsidRPr="00821079">
        <w:rPr>
          <w:rFonts w:ascii="Times New Roman" w:eastAsia="ArrusBT-Roman" w:hAnsi="Times New Roman" w:cs="Times New Roman"/>
        </w:rPr>
        <w:t>labor</w:t>
      </w:r>
      <w:r w:rsidRPr="00821079">
        <w:rPr>
          <w:rFonts w:ascii="Times New Roman" w:eastAsia="ArrusBT-Roman" w:hAnsi="Times New Roman" w:cs="Times New Roman"/>
        </w:rPr>
        <w:t xml:space="preserve"> saving, reproducible, accurate, sensitive and specific method to de</w:t>
      </w:r>
      <w:r w:rsidR="001F41DA" w:rsidRPr="00821079">
        <w:rPr>
          <w:rFonts w:ascii="Times New Roman" w:eastAsia="ArrusBT-Roman" w:hAnsi="Times New Roman" w:cs="Times New Roman"/>
        </w:rPr>
        <w:t>tect hemoglobinopathies and tha</w:t>
      </w:r>
      <w:r w:rsidRPr="00821079">
        <w:rPr>
          <w:rFonts w:ascii="Times New Roman" w:eastAsia="ArrusBT-Roman" w:hAnsi="Times New Roman" w:cs="Times New Roman"/>
        </w:rPr>
        <w:t>la</w:t>
      </w:r>
      <w:r w:rsidR="001F41DA" w:rsidRPr="00821079">
        <w:rPr>
          <w:rFonts w:ascii="Times New Roman" w:eastAsia="ArrusBT-Roman" w:hAnsi="Times New Roman" w:cs="Times New Roman"/>
        </w:rPr>
        <w:t>s</w:t>
      </w:r>
      <w:r w:rsidRPr="00821079">
        <w:rPr>
          <w:rFonts w:ascii="Times New Roman" w:eastAsia="ArrusBT-Roman" w:hAnsi="Times New Roman" w:cs="Times New Roman"/>
        </w:rPr>
        <w:t xml:space="preserve">semia. It should be used as a screening tool. </w:t>
      </w:r>
      <w:r w:rsidR="006A51E7" w:rsidRPr="00821079">
        <w:rPr>
          <w:rFonts w:ascii="Times New Roman" w:eastAsia="ArrusBT-Roman" w:hAnsi="Times New Roman" w:cs="Times New Roman"/>
        </w:rPr>
        <w:t xml:space="preserve">Most of the abnormal cases are diagnosed with this </w:t>
      </w:r>
      <w:r w:rsidR="001F41DA" w:rsidRPr="00821079">
        <w:rPr>
          <w:rFonts w:ascii="Times New Roman" w:eastAsia="ArrusBT-Roman" w:hAnsi="Times New Roman" w:cs="Times New Roman"/>
        </w:rPr>
        <w:t>method;</w:t>
      </w:r>
      <w:r w:rsidR="006A51E7" w:rsidRPr="00821079">
        <w:rPr>
          <w:rFonts w:ascii="Times New Roman" w:eastAsia="ArrusBT-Roman" w:hAnsi="Times New Roman" w:cs="Times New Roman"/>
        </w:rPr>
        <w:t xml:space="preserve"> with few inconclusive cases require genetic and molecular studies.</w:t>
      </w:r>
    </w:p>
    <w:p w:rsidR="009F380A" w:rsidRPr="00821079" w:rsidRDefault="009F380A" w:rsidP="009711BD">
      <w:pPr>
        <w:autoSpaceDE w:val="0"/>
        <w:autoSpaceDN w:val="0"/>
        <w:adjustRightInd w:val="0"/>
        <w:spacing w:after="0" w:line="240" w:lineRule="auto"/>
        <w:jc w:val="both"/>
        <w:rPr>
          <w:rFonts w:ascii="Times New Roman" w:eastAsia="ArrusBT-Roman" w:hAnsi="Times New Roman" w:cs="Times New Roman"/>
          <w:b/>
          <w:bCs/>
        </w:rPr>
      </w:pPr>
    </w:p>
    <w:p w:rsidR="009711BD" w:rsidRPr="00821079" w:rsidRDefault="00561E46" w:rsidP="00561E46">
      <w:pPr>
        <w:autoSpaceDE w:val="0"/>
        <w:autoSpaceDN w:val="0"/>
        <w:adjustRightInd w:val="0"/>
        <w:spacing w:after="0" w:line="240" w:lineRule="auto"/>
        <w:rPr>
          <w:rFonts w:ascii="Times New Roman" w:eastAsia="ArrusBT-Roman" w:hAnsi="Times New Roman" w:cs="Times New Roman"/>
          <w:b/>
          <w:bCs/>
        </w:rPr>
      </w:pPr>
      <w:r w:rsidRPr="00821079">
        <w:rPr>
          <w:rFonts w:ascii="Times New Roman" w:eastAsia="ArrusBT-Roman" w:hAnsi="Times New Roman" w:cs="Times New Roman"/>
          <w:b/>
          <w:bCs/>
        </w:rPr>
        <w:t>REFERENCES</w:t>
      </w:r>
    </w:p>
    <w:p w:rsidR="0080763B" w:rsidRPr="00821079" w:rsidRDefault="0080763B" w:rsidP="00561E46">
      <w:pPr>
        <w:autoSpaceDE w:val="0"/>
        <w:autoSpaceDN w:val="0"/>
        <w:adjustRightInd w:val="0"/>
        <w:spacing w:after="0" w:line="240" w:lineRule="auto"/>
        <w:jc w:val="both"/>
        <w:rPr>
          <w:rFonts w:ascii="Times New Roman" w:eastAsia="ArrusBT-Roman" w:hAnsi="Times New Roman" w:cs="Times New Roman"/>
          <w:b/>
          <w:bCs/>
        </w:rPr>
      </w:pPr>
    </w:p>
    <w:p w:rsidR="00821079" w:rsidRPr="00821079" w:rsidRDefault="00A76127"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color w:val="000000" w:themeColor="text1"/>
        </w:rPr>
        <w:t xml:space="preserve">Hardison R, Miller W. (Updated) Globin gene server. Available at: </w:t>
      </w:r>
      <w:hyperlink r:id="rId10" w:history="1">
        <w:r w:rsidRPr="00821079">
          <w:rPr>
            <w:rStyle w:val="Hyperlink"/>
            <w:rFonts w:ascii="Times New Roman" w:hAnsi="Times New Roman" w:cs="Times New Roman"/>
            <w:color w:val="000000" w:themeColor="text1"/>
          </w:rPr>
          <w:t>www.globin.cse.psu.edu</w:t>
        </w:r>
      </w:hyperlink>
      <w:r w:rsidRPr="00821079">
        <w:rPr>
          <w:rFonts w:ascii="Times New Roman" w:hAnsi="Times New Roman" w:cs="Times New Roman"/>
          <w:color w:val="000000" w:themeColor="text1"/>
          <w:u w:val="single"/>
        </w:rPr>
        <w:t>.</w:t>
      </w:r>
    </w:p>
    <w:p w:rsidR="00821079" w:rsidRPr="00821079" w:rsidRDefault="00A76127"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Kutlar F. Diagnostic approach to hemoglobinopathies. Hemoglobin</w:t>
      </w:r>
      <w:r w:rsidR="00450B20" w:rsidRPr="00821079">
        <w:rPr>
          <w:rFonts w:ascii="Times New Roman" w:hAnsi="Times New Roman" w:cs="Times New Roman"/>
        </w:rPr>
        <w:t>.</w:t>
      </w:r>
      <w:r w:rsidRPr="00821079">
        <w:rPr>
          <w:rFonts w:ascii="Times New Roman" w:hAnsi="Times New Roman" w:cs="Times New Roman"/>
        </w:rPr>
        <w:t xml:space="preserve"> 2007; 31:243‑50.</w:t>
      </w:r>
    </w:p>
    <w:p w:rsidR="00821079" w:rsidRPr="00821079" w:rsidRDefault="00A76127"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lastRenderedPageBreak/>
        <w:t>WHO</w:t>
      </w:r>
      <w:r w:rsidR="0054467B" w:rsidRPr="00821079">
        <w:rPr>
          <w:rFonts w:ascii="Times New Roman" w:hAnsi="Times New Roman" w:cs="Times New Roman"/>
        </w:rPr>
        <w:t xml:space="preserve">‑ executive board </w:t>
      </w:r>
      <w:r w:rsidRPr="00821079">
        <w:rPr>
          <w:rFonts w:ascii="Times New Roman" w:hAnsi="Times New Roman" w:cs="Times New Roman"/>
        </w:rPr>
        <w:t>EB118/5, 118th Session Report by the Secretariat on Thalassaemia and other haemoglobinopathies: Prevalence of Haemo</w:t>
      </w:r>
      <w:r w:rsidR="00450B20" w:rsidRPr="00821079">
        <w:rPr>
          <w:rFonts w:ascii="Times New Roman" w:hAnsi="Times New Roman" w:cs="Times New Roman"/>
        </w:rPr>
        <w:t>globinopathies. 11 May 2006:</w:t>
      </w:r>
      <w:r w:rsidRPr="00821079">
        <w:rPr>
          <w:rFonts w:ascii="Times New Roman" w:hAnsi="Times New Roman" w:cs="Times New Roman"/>
        </w:rPr>
        <w:t>1‑8.</w:t>
      </w:r>
    </w:p>
    <w:p w:rsidR="00821079" w:rsidRPr="00821079" w:rsidRDefault="0099753C"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Varawalla NY, Old JM, Sarkar R, Venkatesan R, Weatherall DJ. The spectrum of beta thalassaemia mutations on the Indian subcontinent; the basis of prenatal diagnosis. Br J Haematol</w:t>
      </w:r>
      <w:r w:rsidR="00450B20" w:rsidRPr="00821079">
        <w:rPr>
          <w:rFonts w:ascii="Times New Roman" w:hAnsi="Times New Roman" w:cs="Times New Roman"/>
        </w:rPr>
        <w:t>. 1991;</w:t>
      </w:r>
      <w:r w:rsidRPr="00821079">
        <w:rPr>
          <w:rFonts w:ascii="Times New Roman" w:hAnsi="Times New Roman" w:cs="Times New Roman"/>
        </w:rPr>
        <w:t>78:242‑7.</w:t>
      </w:r>
    </w:p>
    <w:p w:rsidR="00821079" w:rsidRPr="00821079" w:rsidRDefault="005B3342"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Balgir RS. The genetic burden of hemoglobinopathies with special reference to community health in India and the challenges ahead. Indian J Hematol Blood Trans</w:t>
      </w:r>
      <w:r w:rsidR="00450B20" w:rsidRPr="00821079">
        <w:rPr>
          <w:rFonts w:ascii="Times New Roman" w:hAnsi="Times New Roman" w:cs="Times New Roman"/>
        </w:rPr>
        <w:t>.</w:t>
      </w:r>
      <w:r w:rsidRPr="00821079">
        <w:rPr>
          <w:rFonts w:ascii="Times New Roman" w:hAnsi="Times New Roman" w:cs="Times New Roman"/>
        </w:rPr>
        <w:t xml:space="preserve"> 2002</w:t>
      </w:r>
      <w:r w:rsidR="00450B20" w:rsidRPr="00821079">
        <w:rPr>
          <w:rFonts w:ascii="Times New Roman" w:hAnsi="Times New Roman" w:cs="Times New Roman"/>
        </w:rPr>
        <w:t>; 20:2</w:t>
      </w:r>
      <w:r w:rsidRPr="00821079">
        <w:rPr>
          <w:rFonts w:ascii="Times New Roman" w:hAnsi="Times New Roman" w:cs="Times New Roman"/>
        </w:rPr>
        <w:t>‑7.</w:t>
      </w:r>
    </w:p>
    <w:p w:rsidR="00821079" w:rsidRPr="00821079" w:rsidRDefault="00AA272F"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 xml:space="preserve">Lt Col PK Gupta, Col H Kumar, Lt Col S Kumar, </w:t>
      </w:r>
      <w:r w:rsidRPr="00821079">
        <w:rPr>
          <w:rFonts w:ascii="Times New Roman" w:hAnsi="Times New Roman" w:cs="Times New Roman"/>
          <w:i/>
          <w:iCs/>
        </w:rPr>
        <w:t>et al</w:t>
      </w:r>
      <w:r w:rsidRPr="00821079">
        <w:rPr>
          <w:rFonts w:ascii="Times New Roman" w:hAnsi="Times New Roman" w:cs="Times New Roman"/>
        </w:rPr>
        <w:t>. Cation exchange high performance liquid chromatography for diagnosis of haemoglobinopathies. MJAFI</w:t>
      </w:r>
      <w:r w:rsidR="00450B20" w:rsidRPr="00821079">
        <w:rPr>
          <w:rFonts w:ascii="Times New Roman" w:hAnsi="Times New Roman" w:cs="Times New Roman"/>
        </w:rPr>
        <w:t>.</w:t>
      </w:r>
      <w:r w:rsidRPr="00821079">
        <w:rPr>
          <w:rFonts w:ascii="Times New Roman" w:hAnsi="Times New Roman" w:cs="Times New Roman"/>
        </w:rPr>
        <w:t xml:space="preserve"> 2009</w:t>
      </w:r>
      <w:r w:rsidR="00450B20" w:rsidRPr="00821079">
        <w:rPr>
          <w:rFonts w:ascii="Times New Roman" w:hAnsi="Times New Roman" w:cs="Times New Roman"/>
        </w:rPr>
        <w:t>; 65:33</w:t>
      </w:r>
      <w:r w:rsidRPr="00821079">
        <w:rPr>
          <w:rFonts w:ascii="Times New Roman" w:hAnsi="Times New Roman" w:cs="Times New Roman"/>
        </w:rPr>
        <w:t>-7.</w:t>
      </w:r>
    </w:p>
    <w:p w:rsidR="00821079" w:rsidRPr="00821079" w:rsidRDefault="00F506BA"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Wild BJ, Stephens AD. The use of automated HPLC to detect and quantitate haemoglobins. Clin Lab</w:t>
      </w:r>
      <w:r w:rsidR="00450B20" w:rsidRPr="00821079">
        <w:rPr>
          <w:rFonts w:ascii="Times New Roman" w:hAnsi="Times New Roman" w:cs="Times New Roman"/>
        </w:rPr>
        <w:t xml:space="preserve"> Haematol. 1997;19:171</w:t>
      </w:r>
      <w:r w:rsidRPr="00821079">
        <w:rPr>
          <w:rFonts w:ascii="Times New Roman" w:hAnsi="Times New Roman" w:cs="Times New Roman"/>
        </w:rPr>
        <w:t>–176.</w:t>
      </w:r>
    </w:p>
    <w:p w:rsidR="00821079" w:rsidRPr="00821079" w:rsidRDefault="00F506BA"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 xml:space="preserve">Higgins TN, Ridley B. Tentative identification of hemoglobin </w:t>
      </w:r>
      <w:r w:rsidR="00450B20" w:rsidRPr="00821079">
        <w:rPr>
          <w:rFonts w:ascii="Times New Roman" w:hAnsi="Times New Roman" w:cs="Times New Roman"/>
        </w:rPr>
        <w:t>variants in the Bio</w:t>
      </w:r>
      <w:r w:rsidRPr="00821079">
        <w:rPr>
          <w:rFonts w:ascii="Times New Roman" w:hAnsi="Times New Roman" w:cs="Times New Roman"/>
        </w:rPr>
        <w:t>–Rad VARIANT II Method. Clin Biochem</w:t>
      </w:r>
      <w:r w:rsidR="00450B20" w:rsidRPr="00821079">
        <w:rPr>
          <w:rFonts w:ascii="Times New Roman" w:hAnsi="Times New Roman" w:cs="Times New Roman"/>
        </w:rPr>
        <w:t>.</w:t>
      </w:r>
      <w:r w:rsidRPr="00821079">
        <w:rPr>
          <w:rFonts w:ascii="Times New Roman" w:hAnsi="Times New Roman" w:cs="Times New Roman"/>
        </w:rPr>
        <w:t xml:space="preserve"> </w:t>
      </w:r>
      <w:r w:rsidR="00450B20" w:rsidRPr="00821079">
        <w:rPr>
          <w:rFonts w:ascii="Times New Roman" w:hAnsi="Times New Roman" w:cs="Times New Roman"/>
        </w:rPr>
        <w:t xml:space="preserve"> </w:t>
      </w:r>
      <w:r w:rsidRPr="00821079">
        <w:rPr>
          <w:rFonts w:ascii="Times New Roman" w:hAnsi="Times New Roman" w:cs="Times New Roman"/>
        </w:rPr>
        <w:t>2005;38:272‑7.</w:t>
      </w:r>
    </w:p>
    <w:p w:rsidR="00821079" w:rsidRPr="00821079" w:rsidRDefault="000D3B99"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Phelan L, Bain BJ, Roper D, et al. An analysis of relative costs and potential benefits of different policies for antenatal screening for b thalassaemia trait and variant haemoglobins. J Clin Pathol. 1999;52:697–700.</w:t>
      </w:r>
    </w:p>
    <w:p w:rsidR="00821079" w:rsidRPr="00821079" w:rsidRDefault="000D3B99"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Riou J, Godart C, Hurtrel D, Mathis M, Bimet C, Bardakdjian‑Michau J, et al. Cation–exchange HPLC evaluated for presumptive identification Of</w:t>
      </w:r>
      <w:r w:rsidR="00450B20" w:rsidRPr="00821079">
        <w:rPr>
          <w:rFonts w:ascii="Times New Roman" w:hAnsi="Times New Roman" w:cs="Times New Roman"/>
        </w:rPr>
        <w:t xml:space="preserve"> hemoglobin variants. Clin Chem. 1997;</w:t>
      </w:r>
      <w:r w:rsidRPr="00821079">
        <w:rPr>
          <w:rFonts w:ascii="Times New Roman" w:hAnsi="Times New Roman" w:cs="Times New Roman"/>
        </w:rPr>
        <w:t>43:34‑9.</w:t>
      </w:r>
    </w:p>
    <w:p w:rsidR="00821079" w:rsidRPr="00821079" w:rsidRDefault="00177EB5"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 xml:space="preserve">Bio–Rad VARIANT </w:t>
      </w:r>
      <w:r w:rsidR="00450B20" w:rsidRPr="00821079">
        <w:rPr>
          <w:rFonts w:ascii="Times New Roman" w:hAnsi="Times New Roman" w:cs="Times New Roman"/>
        </w:rPr>
        <w:t>II, beta</w:t>
      </w:r>
      <w:r w:rsidRPr="00821079">
        <w:rPr>
          <w:rFonts w:ascii="Times New Roman" w:hAnsi="Times New Roman" w:cs="Times New Roman"/>
        </w:rPr>
        <w:t xml:space="preserve"> thalassemia sh</w:t>
      </w:r>
      <w:r w:rsidR="00450B20" w:rsidRPr="00821079">
        <w:rPr>
          <w:rFonts w:ascii="Times New Roman" w:hAnsi="Times New Roman" w:cs="Times New Roman"/>
        </w:rPr>
        <w:t>ort program. Instruction Manual.</w:t>
      </w:r>
      <w:r w:rsidRPr="00821079">
        <w:rPr>
          <w:rFonts w:ascii="Times New Roman" w:hAnsi="Times New Roman" w:cs="Times New Roman"/>
        </w:rPr>
        <w:t xml:space="preserve"> 2003:10.</w:t>
      </w:r>
    </w:p>
    <w:p w:rsidR="00821079" w:rsidRPr="00821079" w:rsidRDefault="00711A7E"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Working Party of the General Haematology Task Force of the British Committee for Standards in Haemotology. Guideline: The laboratory diagnosis of haemoglobinopathies. Br J Haematol</w:t>
      </w:r>
      <w:r w:rsidR="00450B20" w:rsidRPr="00821079">
        <w:rPr>
          <w:rFonts w:ascii="Times New Roman" w:hAnsi="Times New Roman" w:cs="Times New Roman"/>
        </w:rPr>
        <w:t>.</w:t>
      </w:r>
      <w:r w:rsidRPr="00821079">
        <w:rPr>
          <w:rFonts w:ascii="Times New Roman" w:hAnsi="Times New Roman" w:cs="Times New Roman"/>
        </w:rPr>
        <w:t xml:space="preserve"> 1998;101:783‑92.</w:t>
      </w:r>
    </w:p>
    <w:p w:rsidR="00821079" w:rsidRPr="00821079" w:rsidRDefault="00711A7E"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Chakrabarti I, Sinha SK, Ghosh N, Goswami BK. Beta‑thalassemia carrier detection by NESTROFT: An Answer in Rural Scenario?</w:t>
      </w:r>
      <w:r w:rsidR="00450B20" w:rsidRPr="00821079">
        <w:rPr>
          <w:rFonts w:ascii="Times New Roman" w:hAnsi="Times New Roman" w:cs="Times New Roman"/>
        </w:rPr>
        <w:t>.</w:t>
      </w:r>
      <w:r w:rsidRPr="00821079">
        <w:rPr>
          <w:rFonts w:ascii="Times New Roman" w:hAnsi="Times New Roman" w:cs="Times New Roman"/>
        </w:rPr>
        <w:t xml:space="preserve"> Iran J Pathol</w:t>
      </w:r>
      <w:r w:rsidR="00450B20" w:rsidRPr="00821079">
        <w:rPr>
          <w:rFonts w:ascii="Times New Roman" w:hAnsi="Times New Roman" w:cs="Times New Roman"/>
        </w:rPr>
        <w:t>.</w:t>
      </w:r>
      <w:r w:rsidRPr="00821079">
        <w:rPr>
          <w:rFonts w:ascii="Times New Roman" w:hAnsi="Times New Roman" w:cs="Times New Roman"/>
        </w:rPr>
        <w:t xml:space="preserve"> 2012;19:1.</w:t>
      </w:r>
    </w:p>
    <w:p w:rsidR="00821079" w:rsidRPr="00821079" w:rsidRDefault="001738F6"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Gorakshakar AC, Colah RB. Is RBC discrimination index suitable</w:t>
      </w:r>
      <w:r w:rsidR="00F85E76" w:rsidRPr="00821079">
        <w:rPr>
          <w:rFonts w:ascii="Times New Roman" w:hAnsi="Times New Roman" w:cs="Times New Roman"/>
        </w:rPr>
        <w:t xml:space="preserve"> for differentiating between</w:t>
      </w:r>
      <w:r w:rsidRPr="00821079">
        <w:rPr>
          <w:rFonts w:ascii="Times New Roman" w:hAnsi="Times New Roman" w:cs="Times New Roman"/>
        </w:rPr>
        <w:t xml:space="preserve"> α and b </w:t>
      </w:r>
      <w:r w:rsidR="00450B20" w:rsidRPr="00821079">
        <w:rPr>
          <w:rFonts w:ascii="Times New Roman" w:hAnsi="Times New Roman" w:cs="Times New Roman"/>
        </w:rPr>
        <w:t>thalassemias?.</w:t>
      </w:r>
      <w:r w:rsidRPr="00821079">
        <w:rPr>
          <w:rFonts w:ascii="Times New Roman" w:hAnsi="Times New Roman" w:cs="Times New Roman"/>
        </w:rPr>
        <w:t xml:space="preserve"> Indian J Hum</w:t>
      </w:r>
      <w:r w:rsidR="00F85E76" w:rsidRPr="00821079">
        <w:rPr>
          <w:rFonts w:ascii="Times New Roman" w:hAnsi="Times New Roman" w:cs="Times New Roman"/>
        </w:rPr>
        <w:t xml:space="preserve"> </w:t>
      </w:r>
      <w:r w:rsidRPr="00821079">
        <w:rPr>
          <w:rFonts w:ascii="Times New Roman" w:hAnsi="Times New Roman" w:cs="Times New Roman"/>
        </w:rPr>
        <w:t>Genet</w:t>
      </w:r>
      <w:r w:rsidR="00450B20" w:rsidRPr="00821079">
        <w:rPr>
          <w:rFonts w:ascii="Times New Roman" w:hAnsi="Times New Roman" w:cs="Times New Roman"/>
        </w:rPr>
        <w:t>.</w:t>
      </w:r>
      <w:r w:rsidRPr="00821079">
        <w:rPr>
          <w:rFonts w:ascii="Times New Roman" w:hAnsi="Times New Roman" w:cs="Times New Roman"/>
        </w:rPr>
        <w:t xml:space="preserve"> 2011;17:115‑6.</w:t>
      </w:r>
    </w:p>
    <w:p w:rsidR="00821079" w:rsidRPr="00821079" w:rsidRDefault="00711A7E"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Dangi CBS, Sajid M, Sawke GK, Ambhore J. Sickle cell hemoglobinopathies in district Bhopal. Indian J Hum Genet</w:t>
      </w:r>
      <w:r w:rsidR="00450B20" w:rsidRPr="00821079">
        <w:rPr>
          <w:rFonts w:ascii="Times New Roman" w:hAnsi="Times New Roman" w:cs="Times New Roman"/>
        </w:rPr>
        <w:t>.</w:t>
      </w:r>
      <w:r w:rsidRPr="00821079">
        <w:rPr>
          <w:rFonts w:ascii="Times New Roman" w:hAnsi="Times New Roman" w:cs="Times New Roman"/>
        </w:rPr>
        <w:t xml:space="preserve"> 2010;16:100‑2.</w:t>
      </w:r>
    </w:p>
    <w:p w:rsidR="00821079" w:rsidRPr="00821079" w:rsidRDefault="00711A7E"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Yousafzai YM, Khan S, Raziq F. Beta‑thalassaemia trait: Haematological parameters. J Ayub Med Coll Abbottabad 2010;22:84‑6.</w:t>
      </w:r>
    </w:p>
    <w:p w:rsidR="00821079" w:rsidRPr="00821079" w:rsidRDefault="006E56E7"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Joutovsky A, Hadzi‑Nesic J, Nardi MA. HPLC retention time as a diagnostic tool for hemoglobin variants and hemoglobinopathies: A study of 60,000 samples in a clinical diagnostic laboratory. Clin Chem</w:t>
      </w:r>
      <w:r w:rsidR="00450B20" w:rsidRPr="00821079">
        <w:rPr>
          <w:rFonts w:ascii="Times New Roman" w:hAnsi="Times New Roman" w:cs="Times New Roman"/>
        </w:rPr>
        <w:t>.</w:t>
      </w:r>
      <w:r w:rsidRPr="00821079">
        <w:rPr>
          <w:rFonts w:ascii="Times New Roman" w:hAnsi="Times New Roman" w:cs="Times New Roman"/>
        </w:rPr>
        <w:t xml:space="preserve"> 2004;50:1736‑47.</w:t>
      </w:r>
    </w:p>
    <w:p w:rsidR="00821079" w:rsidRPr="00821079" w:rsidRDefault="00A67426"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Somervaille T. Disorders of Hemoglobin: Genetics, Pathophysiology, and Clinical Management. Journal of the Royal Society of Medicine. 2001; 94(11):602-603.</w:t>
      </w:r>
    </w:p>
    <w:p w:rsidR="00821079" w:rsidRPr="00821079" w:rsidRDefault="006B73E6"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Dash S. Hb A2 in subjects wi</w:t>
      </w:r>
      <w:r w:rsidR="00A67426" w:rsidRPr="00821079">
        <w:rPr>
          <w:rFonts w:ascii="Times New Roman" w:hAnsi="Times New Roman" w:cs="Times New Roman"/>
        </w:rPr>
        <w:t>th Hb D. Clin Chem. 1998;44:</w:t>
      </w:r>
      <w:r w:rsidRPr="00821079">
        <w:rPr>
          <w:rFonts w:ascii="Times New Roman" w:hAnsi="Times New Roman" w:cs="Times New Roman"/>
        </w:rPr>
        <w:t xml:space="preserve">2381‑2. </w:t>
      </w:r>
    </w:p>
    <w:p w:rsidR="00821079" w:rsidRPr="00821079" w:rsidRDefault="006B73E6"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Bain BJ. Other significant hemoglobinopathies. In: Bain BJ, editor. Haemoglobinopathy Diagnosis. 2nd ed. Oxford: Blackwe</w:t>
      </w:r>
      <w:r w:rsidR="00A67426" w:rsidRPr="00821079">
        <w:rPr>
          <w:rFonts w:ascii="Times New Roman" w:hAnsi="Times New Roman" w:cs="Times New Roman"/>
        </w:rPr>
        <w:t>ll Publishing Ltd; 2006.</w:t>
      </w:r>
    </w:p>
    <w:p w:rsidR="00821079" w:rsidRPr="00821079" w:rsidRDefault="00FC7069"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Ou CN, Rognerud CL. Diagnosis of hemoglobinopathies: Electrophoresis vs. HPLC. Clin Chem Acta</w:t>
      </w:r>
      <w:r w:rsidR="00A67426" w:rsidRPr="00821079">
        <w:rPr>
          <w:rFonts w:ascii="Times New Roman" w:hAnsi="Times New Roman" w:cs="Times New Roman"/>
        </w:rPr>
        <w:t>. 2001;</w:t>
      </w:r>
      <w:r w:rsidRPr="00821079">
        <w:rPr>
          <w:rFonts w:ascii="Times New Roman" w:hAnsi="Times New Roman" w:cs="Times New Roman"/>
        </w:rPr>
        <w:t>313:187‑94.</w:t>
      </w:r>
    </w:p>
    <w:p w:rsidR="00821079" w:rsidRPr="00821079" w:rsidRDefault="00D91F5C"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El‑Aquoza I, Abu Shahla A, Sirdah M. The effects of iron deficiency anaemia on the levels of haemoglobin subtype: Possible consequences for clinical diagnosis. Clin Lab Haematol</w:t>
      </w:r>
      <w:r w:rsidR="00A67426" w:rsidRPr="00821079">
        <w:rPr>
          <w:rFonts w:ascii="Times New Roman" w:hAnsi="Times New Roman" w:cs="Times New Roman"/>
        </w:rPr>
        <w:t xml:space="preserve">. </w:t>
      </w:r>
      <w:r w:rsidRPr="00821079">
        <w:rPr>
          <w:rFonts w:ascii="Times New Roman" w:hAnsi="Times New Roman" w:cs="Times New Roman"/>
        </w:rPr>
        <w:t>2002;24:285‑9.</w:t>
      </w:r>
    </w:p>
    <w:p w:rsidR="00821079" w:rsidRPr="00821079" w:rsidRDefault="00D91F5C"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Madan N, Sikka M, Sharma S, Rusia U. Haematological param</w:t>
      </w:r>
      <w:r w:rsidR="00A67426" w:rsidRPr="00821079">
        <w:rPr>
          <w:rFonts w:ascii="Times New Roman" w:hAnsi="Times New Roman" w:cs="Times New Roman"/>
        </w:rPr>
        <w:t xml:space="preserve">eters and HbA2 levels in beta </w:t>
      </w:r>
      <w:r w:rsidRPr="00821079">
        <w:rPr>
          <w:rFonts w:ascii="Times New Roman" w:hAnsi="Times New Roman" w:cs="Times New Roman"/>
        </w:rPr>
        <w:t>thalassaemia trait With coincident iron deficiency. Indian J Pathol Microbiol</w:t>
      </w:r>
      <w:r w:rsidR="00A67426" w:rsidRPr="00821079">
        <w:rPr>
          <w:rFonts w:ascii="Times New Roman" w:hAnsi="Times New Roman" w:cs="Times New Roman"/>
        </w:rPr>
        <w:t>.</w:t>
      </w:r>
      <w:r w:rsidRPr="00821079">
        <w:rPr>
          <w:rFonts w:ascii="Times New Roman" w:hAnsi="Times New Roman" w:cs="Times New Roman"/>
        </w:rPr>
        <w:t xml:space="preserve"> 1998;41:309‑13.</w:t>
      </w:r>
    </w:p>
    <w:p w:rsidR="00821079" w:rsidRPr="00821079" w:rsidRDefault="00D91F5C"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 xml:space="preserve">Bencaiova G, Burkhardt T, Kraft A, Zimmermann R. Screening </w:t>
      </w:r>
      <w:r w:rsidR="00A67426" w:rsidRPr="00821079">
        <w:rPr>
          <w:rFonts w:ascii="Times New Roman" w:hAnsi="Times New Roman" w:cs="Times New Roman"/>
        </w:rPr>
        <w:t xml:space="preserve">for beta </w:t>
      </w:r>
      <w:r w:rsidRPr="00821079">
        <w:rPr>
          <w:rFonts w:ascii="Times New Roman" w:hAnsi="Times New Roman" w:cs="Times New Roman"/>
        </w:rPr>
        <w:t>thalassaemia trait in anaemic pregnant women. Gynecol Obstet Invest</w:t>
      </w:r>
      <w:r w:rsidR="00A67426" w:rsidRPr="00821079">
        <w:rPr>
          <w:rFonts w:ascii="Times New Roman" w:hAnsi="Times New Roman" w:cs="Times New Roman"/>
        </w:rPr>
        <w:t>.</w:t>
      </w:r>
      <w:r w:rsidRPr="00821079">
        <w:rPr>
          <w:rFonts w:ascii="Times New Roman" w:hAnsi="Times New Roman" w:cs="Times New Roman"/>
        </w:rPr>
        <w:t xml:space="preserve"> 2006;62:20‑7.</w:t>
      </w:r>
    </w:p>
    <w:p w:rsidR="00821079" w:rsidRPr="00821079" w:rsidRDefault="00D91F5C"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hAnsi="Times New Roman" w:cs="Times New Roman"/>
        </w:rPr>
        <w:t>Das Gupta A. Abrogation of macrocytosis</w:t>
      </w:r>
      <w:r w:rsidR="00A67426" w:rsidRPr="00821079">
        <w:rPr>
          <w:rFonts w:ascii="Times New Roman" w:hAnsi="Times New Roman" w:cs="Times New Roman"/>
        </w:rPr>
        <w:t xml:space="preserve"> in pernicious anemia by beta </w:t>
      </w:r>
      <w:r w:rsidRPr="00821079">
        <w:rPr>
          <w:rFonts w:ascii="Times New Roman" w:hAnsi="Times New Roman" w:cs="Times New Roman"/>
        </w:rPr>
        <w:t>thalassemia does not mask the diagnosis of vit B12 deficiency. Am J Hematol</w:t>
      </w:r>
      <w:r w:rsidR="00A67426" w:rsidRPr="00821079">
        <w:rPr>
          <w:rFonts w:ascii="Times New Roman" w:hAnsi="Times New Roman" w:cs="Times New Roman"/>
        </w:rPr>
        <w:t>.</w:t>
      </w:r>
      <w:r w:rsidRPr="00821079">
        <w:rPr>
          <w:rFonts w:ascii="Times New Roman" w:hAnsi="Times New Roman" w:cs="Times New Roman"/>
        </w:rPr>
        <w:t xml:space="preserve"> 2002;71:61‑2.</w:t>
      </w:r>
    </w:p>
    <w:p w:rsidR="00821079" w:rsidRPr="00821079" w:rsidRDefault="00450B20"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eastAsia="Times New Roman" w:hAnsi="Times New Roman" w:cs="Times New Roman"/>
        </w:rPr>
        <w:lastRenderedPageBreak/>
        <w:t xml:space="preserve">Sachdev R, Dam AR, Tyagi G. </w:t>
      </w:r>
      <w:r w:rsidR="00AC0013" w:rsidRPr="00821079">
        <w:rPr>
          <w:rFonts w:ascii="Times New Roman" w:eastAsia="Times New Roman" w:hAnsi="Times New Roman" w:cs="Times New Roman"/>
        </w:rPr>
        <w:t>Detection of Hb variants and hemoglobinopathies in Indian population using HPLC: report of 2600 cases. Indian J Pathol Microbiol</w:t>
      </w:r>
      <w:r w:rsidR="00A67426" w:rsidRPr="00821079">
        <w:rPr>
          <w:rFonts w:ascii="Times New Roman" w:eastAsia="Times New Roman" w:hAnsi="Times New Roman" w:cs="Times New Roman"/>
        </w:rPr>
        <w:t>.</w:t>
      </w:r>
      <w:r w:rsidR="00AC0013" w:rsidRPr="00821079">
        <w:rPr>
          <w:rFonts w:ascii="Times New Roman" w:eastAsia="Times New Roman" w:hAnsi="Times New Roman" w:cs="Times New Roman"/>
        </w:rPr>
        <w:t xml:space="preserve"> </w:t>
      </w:r>
      <w:r w:rsidR="00A67426" w:rsidRPr="00821079">
        <w:rPr>
          <w:rFonts w:ascii="Times New Roman" w:eastAsia="Times New Roman" w:hAnsi="Times New Roman" w:cs="Times New Roman"/>
        </w:rPr>
        <w:t>2010;</w:t>
      </w:r>
      <w:r w:rsidR="00AC0013" w:rsidRPr="00821079">
        <w:rPr>
          <w:rFonts w:ascii="Times New Roman" w:eastAsia="Times New Roman" w:hAnsi="Times New Roman" w:cs="Times New Roman"/>
        </w:rPr>
        <w:t>53:57–62</w:t>
      </w:r>
      <w:r w:rsidR="00427751" w:rsidRPr="00821079">
        <w:rPr>
          <w:rFonts w:ascii="Times New Roman" w:eastAsia="Times New Roman" w:hAnsi="Times New Roman" w:cs="Times New Roman"/>
        </w:rPr>
        <w:t>.</w:t>
      </w:r>
    </w:p>
    <w:p w:rsidR="00821079" w:rsidRPr="00821079" w:rsidRDefault="00427751"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eastAsia="Times New Roman" w:hAnsi="Times New Roman" w:cs="Times New Roman"/>
        </w:rPr>
        <w:t xml:space="preserve">Rao S, Kar R, Gupta SK, Chopra </w:t>
      </w:r>
      <w:r w:rsidR="00450B20" w:rsidRPr="00821079">
        <w:rPr>
          <w:rFonts w:ascii="Times New Roman" w:eastAsia="Times New Roman" w:hAnsi="Times New Roman" w:cs="Times New Roman"/>
        </w:rPr>
        <w:t xml:space="preserve">A, Saxena R. </w:t>
      </w:r>
      <w:r w:rsidRPr="00821079">
        <w:rPr>
          <w:rFonts w:ascii="Times New Roman" w:eastAsia="Times New Roman" w:hAnsi="Times New Roman" w:cs="Times New Roman"/>
        </w:rPr>
        <w:t>Spectrum of haemoglobinopathies diagnosed by cation exchange-HPLC and modulating effects of nutritional deficiency anaemias fro</w:t>
      </w:r>
      <w:r w:rsidR="00A67426" w:rsidRPr="00821079">
        <w:rPr>
          <w:rFonts w:ascii="Times New Roman" w:eastAsia="Times New Roman" w:hAnsi="Times New Roman" w:cs="Times New Roman"/>
        </w:rPr>
        <w:t>m north India. Indian J Med Res. 2010;</w:t>
      </w:r>
      <w:r w:rsidRPr="00821079">
        <w:rPr>
          <w:rFonts w:ascii="Times New Roman" w:eastAsia="Times New Roman" w:hAnsi="Times New Roman" w:cs="Times New Roman"/>
        </w:rPr>
        <w:t>132:513–519.</w:t>
      </w:r>
    </w:p>
    <w:p w:rsidR="00821079" w:rsidRPr="00821079" w:rsidRDefault="00427751"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eastAsia="Times New Roman" w:hAnsi="Times New Roman" w:cs="Times New Roman"/>
        </w:rPr>
        <w:t>Dolai TK, Dut</w:t>
      </w:r>
      <w:r w:rsidR="00450B20" w:rsidRPr="00821079">
        <w:rPr>
          <w:rFonts w:ascii="Times New Roman" w:eastAsia="Times New Roman" w:hAnsi="Times New Roman" w:cs="Times New Roman"/>
        </w:rPr>
        <w:t xml:space="preserve">ta S, Bhattacharyya M, Ghosh MK. </w:t>
      </w:r>
      <w:r w:rsidRPr="00821079">
        <w:rPr>
          <w:rFonts w:ascii="Times New Roman" w:eastAsia="Times New Roman" w:hAnsi="Times New Roman" w:cs="Times New Roman"/>
        </w:rPr>
        <w:t>Prevalence of hemoglobinopathies in rural Bengal, India. Hemoglobin</w:t>
      </w:r>
      <w:r w:rsidR="00A67426" w:rsidRPr="00821079">
        <w:rPr>
          <w:rFonts w:ascii="Times New Roman" w:eastAsia="Times New Roman" w:hAnsi="Times New Roman" w:cs="Times New Roman"/>
        </w:rPr>
        <w:t xml:space="preserve">. </w:t>
      </w:r>
      <w:r w:rsidRPr="00821079">
        <w:rPr>
          <w:rFonts w:ascii="Times New Roman" w:eastAsia="Times New Roman" w:hAnsi="Times New Roman" w:cs="Times New Roman"/>
        </w:rPr>
        <w:t xml:space="preserve"> </w:t>
      </w:r>
      <w:r w:rsidR="00A67426" w:rsidRPr="00821079">
        <w:rPr>
          <w:rFonts w:ascii="Times New Roman" w:eastAsia="Times New Roman" w:hAnsi="Times New Roman" w:cs="Times New Roman"/>
        </w:rPr>
        <w:t>2012;</w:t>
      </w:r>
      <w:r w:rsidR="00450B20" w:rsidRPr="00821079">
        <w:rPr>
          <w:rFonts w:ascii="Times New Roman" w:eastAsia="Times New Roman" w:hAnsi="Times New Roman" w:cs="Times New Roman"/>
        </w:rPr>
        <w:t xml:space="preserve"> </w:t>
      </w:r>
      <w:r w:rsidRPr="00821079">
        <w:rPr>
          <w:rFonts w:ascii="Times New Roman" w:eastAsia="Times New Roman" w:hAnsi="Times New Roman" w:cs="Times New Roman"/>
        </w:rPr>
        <w:t>36:57–63.</w:t>
      </w:r>
    </w:p>
    <w:p w:rsidR="00821079" w:rsidRPr="00821079" w:rsidRDefault="00427751"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eastAsia="Times New Roman" w:hAnsi="Times New Roman" w:cs="Times New Roman"/>
        </w:rPr>
        <w:t>Mukhopadhyay D, Saha K, Sengupta M, Mitra S, Datta C, Mitra P.</w:t>
      </w:r>
      <w:r w:rsidRPr="00821079">
        <w:rPr>
          <w:rFonts w:ascii="Times New Roman" w:hAnsi="Times New Roman" w:cs="Times New Roman"/>
        </w:rPr>
        <w:t xml:space="preserve"> </w:t>
      </w:r>
      <w:r w:rsidRPr="00821079">
        <w:rPr>
          <w:rFonts w:ascii="Times New Roman" w:eastAsia="Times New Roman" w:hAnsi="Times New Roman" w:cs="Times New Roman"/>
        </w:rPr>
        <w:t xml:space="preserve">Spectrum of Hemoglobinopathies in West Bengal, India: A CE-HPLC Study on 10407 Subjects. </w:t>
      </w:r>
      <w:r w:rsidRPr="00821079">
        <w:rPr>
          <w:rFonts w:ascii="Times New Roman" w:hAnsi="Times New Roman" w:cs="Times New Roman"/>
        </w:rPr>
        <w:t>Indian J Hematol Blood Transfus</w:t>
      </w:r>
      <w:r w:rsidR="00A67426" w:rsidRPr="00821079">
        <w:rPr>
          <w:rFonts w:ascii="Times New Roman" w:hAnsi="Times New Roman" w:cs="Times New Roman"/>
        </w:rPr>
        <w:t>.</w:t>
      </w:r>
      <w:r w:rsidRPr="00821079">
        <w:rPr>
          <w:rFonts w:ascii="Times New Roman" w:hAnsi="Times New Roman" w:cs="Times New Roman"/>
        </w:rPr>
        <w:t xml:space="preserve"> </w:t>
      </w:r>
      <w:r w:rsidR="00450B20" w:rsidRPr="00821079">
        <w:rPr>
          <w:rFonts w:ascii="Times New Roman" w:hAnsi="Times New Roman" w:cs="Times New Roman"/>
        </w:rPr>
        <w:t xml:space="preserve"> 2015</w:t>
      </w:r>
      <w:r w:rsidR="00A67426" w:rsidRPr="00821079">
        <w:rPr>
          <w:rFonts w:ascii="Times New Roman" w:hAnsi="Times New Roman" w:cs="Times New Roman"/>
        </w:rPr>
        <w:t>;</w:t>
      </w:r>
      <w:r w:rsidRPr="00821079">
        <w:rPr>
          <w:rFonts w:ascii="Times New Roman" w:hAnsi="Times New Roman" w:cs="Times New Roman"/>
        </w:rPr>
        <w:t>31(1):98–103.</w:t>
      </w:r>
    </w:p>
    <w:p w:rsidR="00994E50" w:rsidRPr="00821079" w:rsidRDefault="00994E50" w:rsidP="00561E46">
      <w:pPr>
        <w:pStyle w:val="ListParagraph"/>
        <w:numPr>
          <w:ilvl w:val="0"/>
          <w:numId w:val="5"/>
        </w:numPr>
        <w:autoSpaceDE w:val="0"/>
        <w:autoSpaceDN w:val="0"/>
        <w:adjustRightInd w:val="0"/>
        <w:spacing w:after="0" w:line="240" w:lineRule="auto"/>
        <w:jc w:val="both"/>
        <w:rPr>
          <w:rFonts w:ascii="Times New Roman" w:hAnsi="Times New Roman" w:cs="Times New Roman"/>
          <w:color w:val="000000" w:themeColor="text1"/>
        </w:rPr>
      </w:pPr>
      <w:r w:rsidRPr="00821079">
        <w:rPr>
          <w:rFonts w:ascii="Times New Roman" w:eastAsia="Times New Roman" w:hAnsi="Times New Roman" w:cs="Times New Roman"/>
        </w:rPr>
        <w:t>Jain BB, Roy RN, Ghosh S, Ghosh</w:t>
      </w:r>
      <w:r w:rsidR="00450B20" w:rsidRPr="00821079">
        <w:rPr>
          <w:rFonts w:ascii="Times New Roman" w:eastAsia="Times New Roman" w:hAnsi="Times New Roman" w:cs="Times New Roman"/>
        </w:rPr>
        <w:t xml:space="preserve"> T, Banerjee U, Bhattacharya SK. </w:t>
      </w:r>
      <w:r w:rsidRPr="00821079">
        <w:rPr>
          <w:rFonts w:ascii="Times New Roman" w:eastAsia="Times New Roman" w:hAnsi="Times New Roman" w:cs="Times New Roman"/>
        </w:rPr>
        <w:t>Screening for thalassemia and other hemoglobinopathies in a tertiary care hospital of West Bengal: implications for population screening. Indian J Public Health</w:t>
      </w:r>
      <w:r w:rsidR="00A67426" w:rsidRPr="00821079">
        <w:rPr>
          <w:rFonts w:ascii="Times New Roman" w:eastAsia="Times New Roman" w:hAnsi="Times New Roman" w:cs="Times New Roman"/>
        </w:rPr>
        <w:t>.</w:t>
      </w:r>
      <w:r w:rsidRPr="00821079">
        <w:rPr>
          <w:rFonts w:ascii="Times New Roman" w:eastAsia="Times New Roman" w:hAnsi="Times New Roman" w:cs="Times New Roman"/>
        </w:rPr>
        <w:t xml:space="preserve"> </w:t>
      </w:r>
      <w:r w:rsidR="00A67426" w:rsidRPr="00821079">
        <w:rPr>
          <w:rFonts w:ascii="Times New Roman" w:eastAsia="Times New Roman" w:hAnsi="Times New Roman" w:cs="Times New Roman"/>
        </w:rPr>
        <w:t>2012;</w:t>
      </w:r>
      <w:r w:rsidRPr="00821079">
        <w:rPr>
          <w:rFonts w:ascii="Times New Roman" w:eastAsia="Times New Roman" w:hAnsi="Times New Roman" w:cs="Times New Roman"/>
        </w:rPr>
        <w:t>56:297–300</w:t>
      </w:r>
    </w:p>
    <w:p w:rsidR="00994E50" w:rsidRPr="00821079" w:rsidRDefault="00994E50" w:rsidP="00561E46">
      <w:pPr>
        <w:pStyle w:val="NoSpacing"/>
        <w:jc w:val="both"/>
        <w:rPr>
          <w:rFonts w:ascii="Times New Roman" w:hAnsi="Times New Roman" w:cs="Times New Roman"/>
        </w:rPr>
      </w:pPr>
    </w:p>
    <w:p w:rsidR="00994E50" w:rsidRPr="00821079" w:rsidRDefault="00994E50" w:rsidP="00561E46">
      <w:pPr>
        <w:pStyle w:val="NoSpacing"/>
        <w:jc w:val="both"/>
        <w:rPr>
          <w:rFonts w:ascii="Times New Roman" w:hAnsi="Times New Roman" w:cs="Times New Roman"/>
        </w:rPr>
      </w:pPr>
    </w:p>
    <w:p w:rsidR="00994E50" w:rsidRPr="00821079" w:rsidRDefault="00994E50" w:rsidP="00561E46">
      <w:pPr>
        <w:pStyle w:val="NoSpacing"/>
        <w:jc w:val="both"/>
        <w:rPr>
          <w:rFonts w:ascii="Times New Roman" w:eastAsia="Times New Roman" w:hAnsi="Times New Roman" w:cs="Times New Roman"/>
        </w:rPr>
      </w:pPr>
    </w:p>
    <w:p w:rsidR="00427751" w:rsidRPr="00821079" w:rsidRDefault="00427751" w:rsidP="00561E46">
      <w:pPr>
        <w:pStyle w:val="NoSpacing"/>
        <w:jc w:val="both"/>
        <w:rPr>
          <w:rFonts w:ascii="Times New Roman" w:eastAsia="Times New Roman" w:hAnsi="Times New Roman" w:cs="Times New Roman"/>
        </w:rPr>
      </w:pPr>
    </w:p>
    <w:p w:rsidR="00427751" w:rsidRPr="00821079" w:rsidRDefault="00427751" w:rsidP="00561E46">
      <w:pPr>
        <w:spacing w:after="0" w:line="240" w:lineRule="auto"/>
        <w:jc w:val="both"/>
        <w:rPr>
          <w:rFonts w:ascii="Times New Roman" w:eastAsia="Times New Roman" w:hAnsi="Times New Roman" w:cs="Times New Roman"/>
        </w:rPr>
      </w:pPr>
    </w:p>
    <w:p w:rsidR="00AC0013" w:rsidRPr="00821079" w:rsidRDefault="00AC0013" w:rsidP="00561E46">
      <w:pPr>
        <w:autoSpaceDE w:val="0"/>
        <w:autoSpaceDN w:val="0"/>
        <w:adjustRightInd w:val="0"/>
        <w:spacing w:after="0" w:line="240" w:lineRule="auto"/>
        <w:jc w:val="both"/>
        <w:rPr>
          <w:rFonts w:ascii="Times New Roman" w:hAnsi="Times New Roman" w:cs="Times New Roman"/>
        </w:rPr>
      </w:pPr>
    </w:p>
    <w:sectPr w:rsidR="00AC0013" w:rsidRPr="00821079" w:rsidSect="001814E4">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623" w:rsidRDefault="00EE4623" w:rsidP="00324F29">
      <w:pPr>
        <w:spacing w:after="0" w:line="240" w:lineRule="auto"/>
      </w:pPr>
      <w:r>
        <w:separator/>
      </w:r>
    </w:p>
  </w:endnote>
  <w:endnote w:type="continuationSeparator" w:id="1">
    <w:p w:rsidR="00EE4623" w:rsidRDefault="00EE4623" w:rsidP="00324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rusBT-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3FB" w:rsidRDefault="005C33FB" w:rsidP="00324F29">
    <w:pPr>
      <w:pStyle w:val="Footer"/>
      <w:rPr>
        <w:rFonts w:ascii="Arial" w:hAnsi="Arial" w:cs="Arial"/>
        <w:sz w:val="20"/>
        <w:szCs w:val="20"/>
      </w:rPr>
    </w:pPr>
  </w:p>
  <w:p w:rsidR="005C33FB" w:rsidRPr="00324F29" w:rsidRDefault="005C33FB">
    <w:pPr>
      <w:pStyle w:val="Foo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623" w:rsidRDefault="00EE4623" w:rsidP="00324F29">
      <w:pPr>
        <w:spacing w:after="0" w:line="240" w:lineRule="auto"/>
      </w:pPr>
      <w:r>
        <w:separator/>
      </w:r>
    </w:p>
  </w:footnote>
  <w:footnote w:type="continuationSeparator" w:id="1">
    <w:p w:rsidR="00EE4623" w:rsidRDefault="00EE4623" w:rsidP="00324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674"/>
    <w:multiLevelType w:val="hybridMultilevel"/>
    <w:tmpl w:val="B98EF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351E1"/>
    <w:multiLevelType w:val="hybridMultilevel"/>
    <w:tmpl w:val="A2F2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B868FE"/>
    <w:multiLevelType w:val="hybridMultilevel"/>
    <w:tmpl w:val="EB28D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7E5BD2"/>
    <w:multiLevelType w:val="hybridMultilevel"/>
    <w:tmpl w:val="A2F2B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D16FB6"/>
    <w:multiLevelType w:val="hybridMultilevel"/>
    <w:tmpl w:val="CAEE9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F30B3A"/>
    <w:rsid w:val="00020BAA"/>
    <w:rsid w:val="00024CEE"/>
    <w:rsid w:val="00045B0E"/>
    <w:rsid w:val="00072CF9"/>
    <w:rsid w:val="000C7F52"/>
    <w:rsid w:val="000D3635"/>
    <w:rsid w:val="000D3B99"/>
    <w:rsid w:val="000D7FE0"/>
    <w:rsid w:val="00115FF6"/>
    <w:rsid w:val="0012483A"/>
    <w:rsid w:val="0014691B"/>
    <w:rsid w:val="001652AD"/>
    <w:rsid w:val="001738F6"/>
    <w:rsid w:val="00176435"/>
    <w:rsid w:val="00177EB5"/>
    <w:rsid w:val="001814E4"/>
    <w:rsid w:val="001B15D5"/>
    <w:rsid w:val="001D4EB3"/>
    <w:rsid w:val="001E1460"/>
    <w:rsid w:val="001F41DA"/>
    <w:rsid w:val="002106B5"/>
    <w:rsid w:val="00267768"/>
    <w:rsid w:val="002D20F4"/>
    <w:rsid w:val="002F635E"/>
    <w:rsid w:val="00311B43"/>
    <w:rsid w:val="00321462"/>
    <w:rsid w:val="00324F29"/>
    <w:rsid w:val="0035105E"/>
    <w:rsid w:val="003660D6"/>
    <w:rsid w:val="00375169"/>
    <w:rsid w:val="00394F9E"/>
    <w:rsid w:val="00396EEB"/>
    <w:rsid w:val="003A1396"/>
    <w:rsid w:val="00427751"/>
    <w:rsid w:val="00450B20"/>
    <w:rsid w:val="00454C59"/>
    <w:rsid w:val="00467AE3"/>
    <w:rsid w:val="004E5DA1"/>
    <w:rsid w:val="0054467B"/>
    <w:rsid w:val="005552CC"/>
    <w:rsid w:val="00561E46"/>
    <w:rsid w:val="0056490B"/>
    <w:rsid w:val="005A24B5"/>
    <w:rsid w:val="005A4AEE"/>
    <w:rsid w:val="005B3342"/>
    <w:rsid w:val="005C33FB"/>
    <w:rsid w:val="005F5BBE"/>
    <w:rsid w:val="005F67C4"/>
    <w:rsid w:val="005F6E12"/>
    <w:rsid w:val="006117DE"/>
    <w:rsid w:val="006443AF"/>
    <w:rsid w:val="006641EE"/>
    <w:rsid w:val="00694B8B"/>
    <w:rsid w:val="006A51E7"/>
    <w:rsid w:val="006B73E6"/>
    <w:rsid w:val="006E4102"/>
    <w:rsid w:val="006E56E7"/>
    <w:rsid w:val="00702710"/>
    <w:rsid w:val="00711A7E"/>
    <w:rsid w:val="007166C9"/>
    <w:rsid w:val="007717BA"/>
    <w:rsid w:val="007D5E74"/>
    <w:rsid w:val="0080763B"/>
    <w:rsid w:val="00821079"/>
    <w:rsid w:val="00841476"/>
    <w:rsid w:val="008770EF"/>
    <w:rsid w:val="00883208"/>
    <w:rsid w:val="008A57D1"/>
    <w:rsid w:val="008B1591"/>
    <w:rsid w:val="00906422"/>
    <w:rsid w:val="0096506D"/>
    <w:rsid w:val="009711BD"/>
    <w:rsid w:val="00994E50"/>
    <w:rsid w:val="0099753C"/>
    <w:rsid w:val="009C73CD"/>
    <w:rsid w:val="009E735D"/>
    <w:rsid w:val="009F380A"/>
    <w:rsid w:val="00A0115D"/>
    <w:rsid w:val="00A27122"/>
    <w:rsid w:val="00A50C41"/>
    <w:rsid w:val="00A67426"/>
    <w:rsid w:val="00A758F7"/>
    <w:rsid w:val="00A76127"/>
    <w:rsid w:val="00A763D1"/>
    <w:rsid w:val="00AA272F"/>
    <w:rsid w:val="00AC0013"/>
    <w:rsid w:val="00AD0467"/>
    <w:rsid w:val="00AE5155"/>
    <w:rsid w:val="00AF0220"/>
    <w:rsid w:val="00AF76E2"/>
    <w:rsid w:val="00B067C4"/>
    <w:rsid w:val="00B06AFA"/>
    <w:rsid w:val="00B15926"/>
    <w:rsid w:val="00B2141E"/>
    <w:rsid w:val="00B60796"/>
    <w:rsid w:val="00BA5268"/>
    <w:rsid w:val="00BB7D0B"/>
    <w:rsid w:val="00BC4180"/>
    <w:rsid w:val="00BC72C4"/>
    <w:rsid w:val="00C330EC"/>
    <w:rsid w:val="00C34A6E"/>
    <w:rsid w:val="00C4238E"/>
    <w:rsid w:val="00C627B4"/>
    <w:rsid w:val="00CB4757"/>
    <w:rsid w:val="00CC1731"/>
    <w:rsid w:val="00D6292E"/>
    <w:rsid w:val="00D81377"/>
    <w:rsid w:val="00D8537D"/>
    <w:rsid w:val="00D91F5C"/>
    <w:rsid w:val="00D9281F"/>
    <w:rsid w:val="00DA572D"/>
    <w:rsid w:val="00DB5A0A"/>
    <w:rsid w:val="00DC7E40"/>
    <w:rsid w:val="00DD140B"/>
    <w:rsid w:val="00E07ABA"/>
    <w:rsid w:val="00E20B3D"/>
    <w:rsid w:val="00E55F82"/>
    <w:rsid w:val="00E859B3"/>
    <w:rsid w:val="00EE4623"/>
    <w:rsid w:val="00F30B3A"/>
    <w:rsid w:val="00F506BA"/>
    <w:rsid w:val="00F51747"/>
    <w:rsid w:val="00F70B2D"/>
    <w:rsid w:val="00F85E76"/>
    <w:rsid w:val="00FB2CA7"/>
    <w:rsid w:val="00FC310A"/>
    <w:rsid w:val="00FC4F8F"/>
    <w:rsid w:val="00FC7069"/>
    <w:rsid w:val="00FE5A5F"/>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20F4"/>
    <w:pPr>
      <w:spacing w:after="0" w:line="240" w:lineRule="auto"/>
    </w:pPr>
  </w:style>
  <w:style w:type="character" w:styleId="Hyperlink">
    <w:name w:val="Hyperlink"/>
    <w:basedOn w:val="DefaultParagraphFont"/>
    <w:uiPriority w:val="99"/>
    <w:unhideWhenUsed/>
    <w:rsid w:val="00A76127"/>
    <w:rPr>
      <w:color w:val="0000FF" w:themeColor="hyperlink"/>
      <w:u w:val="single"/>
    </w:rPr>
  </w:style>
  <w:style w:type="paragraph" w:styleId="ListParagraph">
    <w:name w:val="List Paragraph"/>
    <w:basedOn w:val="Normal"/>
    <w:uiPriority w:val="34"/>
    <w:qFormat/>
    <w:rsid w:val="00A76127"/>
    <w:pPr>
      <w:ind w:left="720"/>
      <w:contextualSpacing/>
    </w:pPr>
  </w:style>
  <w:style w:type="table" w:styleId="TableGrid">
    <w:name w:val="Table Grid"/>
    <w:basedOn w:val="TableNormal"/>
    <w:uiPriority w:val="59"/>
    <w:rsid w:val="00FC4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14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40B"/>
    <w:rPr>
      <w:rFonts w:ascii="Tahoma" w:hAnsi="Tahoma" w:cs="Tahoma"/>
      <w:sz w:val="16"/>
      <w:szCs w:val="16"/>
    </w:rPr>
  </w:style>
  <w:style w:type="paragraph" w:styleId="NormalWeb">
    <w:name w:val="Normal (Web)"/>
    <w:basedOn w:val="Normal"/>
    <w:uiPriority w:val="99"/>
    <w:semiHidden/>
    <w:unhideWhenUsed/>
    <w:rsid w:val="009711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711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324F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24F29"/>
  </w:style>
  <w:style w:type="paragraph" w:styleId="Footer">
    <w:name w:val="footer"/>
    <w:basedOn w:val="Normal"/>
    <w:link w:val="FooterChar"/>
    <w:unhideWhenUsed/>
    <w:rsid w:val="00324F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4F29"/>
  </w:style>
  <w:style w:type="paragraph" w:customStyle="1" w:styleId="Body">
    <w:name w:val="Body"/>
    <w:basedOn w:val="Normal"/>
    <w:rsid w:val="00DC7E40"/>
    <w:pPr>
      <w:spacing w:after="240" w:line="240" w:lineRule="auto"/>
      <w:jc w:val="both"/>
    </w:pPr>
    <w:rPr>
      <w:rFonts w:ascii="Helvetica" w:eastAsia="Times New Roman" w:hAnsi="Helvetica" w:cs="Times New Roman"/>
      <w:sz w:val="20"/>
      <w:szCs w:val="20"/>
      <w:lang w:bidi="ar-SA"/>
    </w:rPr>
  </w:style>
</w:styles>
</file>

<file path=word/webSettings.xml><?xml version="1.0" encoding="utf-8"?>
<w:webSettings xmlns:r="http://schemas.openxmlformats.org/officeDocument/2006/relationships" xmlns:w="http://schemas.openxmlformats.org/wordprocessingml/2006/main">
  <w:divs>
    <w:div w:id="487789409">
      <w:bodyDiv w:val="1"/>
      <w:marLeft w:val="0"/>
      <w:marRight w:val="0"/>
      <w:marTop w:val="0"/>
      <w:marBottom w:val="0"/>
      <w:divBdr>
        <w:top w:val="none" w:sz="0" w:space="0" w:color="auto"/>
        <w:left w:val="none" w:sz="0" w:space="0" w:color="auto"/>
        <w:bottom w:val="none" w:sz="0" w:space="0" w:color="auto"/>
        <w:right w:val="none" w:sz="0" w:space="0" w:color="auto"/>
      </w:divBdr>
      <w:divsChild>
        <w:div w:id="2051606706">
          <w:marLeft w:val="0"/>
          <w:marRight w:val="0"/>
          <w:marTop w:val="0"/>
          <w:marBottom w:val="0"/>
          <w:divBdr>
            <w:top w:val="none" w:sz="0" w:space="0" w:color="auto"/>
            <w:left w:val="none" w:sz="0" w:space="0" w:color="auto"/>
            <w:bottom w:val="none" w:sz="0" w:space="0" w:color="auto"/>
            <w:right w:val="none" w:sz="0" w:space="0" w:color="auto"/>
          </w:divBdr>
        </w:div>
        <w:div w:id="526145244">
          <w:marLeft w:val="0"/>
          <w:marRight w:val="0"/>
          <w:marTop w:val="0"/>
          <w:marBottom w:val="0"/>
          <w:divBdr>
            <w:top w:val="none" w:sz="0" w:space="0" w:color="auto"/>
            <w:left w:val="none" w:sz="0" w:space="0" w:color="auto"/>
            <w:bottom w:val="none" w:sz="0" w:space="0" w:color="auto"/>
            <w:right w:val="none" w:sz="0" w:space="0" w:color="auto"/>
          </w:divBdr>
        </w:div>
        <w:div w:id="1502156452">
          <w:marLeft w:val="0"/>
          <w:marRight w:val="0"/>
          <w:marTop w:val="0"/>
          <w:marBottom w:val="0"/>
          <w:divBdr>
            <w:top w:val="none" w:sz="0" w:space="0" w:color="auto"/>
            <w:left w:val="none" w:sz="0" w:space="0" w:color="auto"/>
            <w:bottom w:val="none" w:sz="0" w:space="0" w:color="auto"/>
            <w:right w:val="none" w:sz="0" w:space="0" w:color="auto"/>
          </w:divBdr>
        </w:div>
      </w:divsChild>
    </w:div>
    <w:div w:id="539366690">
      <w:bodyDiv w:val="1"/>
      <w:marLeft w:val="0"/>
      <w:marRight w:val="0"/>
      <w:marTop w:val="0"/>
      <w:marBottom w:val="0"/>
      <w:divBdr>
        <w:top w:val="none" w:sz="0" w:space="0" w:color="auto"/>
        <w:left w:val="none" w:sz="0" w:space="0" w:color="auto"/>
        <w:bottom w:val="none" w:sz="0" w:space="0" w:color="auto"/>
        <w:right w:val="none" w:sz="0" w:space="0" w:color="auto"/>
      </w:divBdr>
    </w:div>
    <w:div w:id="846093080">
      <w:bodyDiv w:val="1"/>
      <w:marLeft w:val="0"/>
      <w:marRight w:val="0"/>
      <w:marTop w:val="0"/>
      <w:marBottom w:val="0"/>
      <w:divBdr>
        <w:top w:val="none" w:sz="0" w:space="0" w:color="auto"/>
        <w:left w:val="none" w:sz="0" w:space="0" w:color="auto"/>
        <w:bottom w:val="none" w:sz="0" w:space="0" w:color="auto"/>
        <w:right w:val="none" w:sz="0" w:space="0" w:color="auto"/>
      </w:divBdr>
      <w:divsChild>
        <w:div w:id="232938209">
          <w:marLeft w:val="0"/>
          <w:marRight w:val="0"/>
          <w:marTop w:val="0"/>
          <w:marBottom w:val="0"/>
          <w:divBdr>
            <w:top w:val="none" w:sz="0" w:space="0" w:color="auto"/>
            <w:left w:val="none" w:sz="0" w:space="0" w:color="auto"/>
            <w:bottom w:val="none" w:sz="0" w:space="0" w:color="auto"/>
            <w:right w:val="none" w:sz="0" w:space="0" w:color="auto"/>
          </w:divBdr>
        </w:div>
        <w:div w:id="255598743">
          <w:marLeft w:val="0"/>
          <w:marRight w:val="0"/>
          <w:marTop w:val="0"/>
          <w:marBottom w:val="0"/>
          <w:divBdr>
            <w:top w:val="none" w:sz="0" w:space="0" w:color="auto"/>
            <w:left w:val="none" w:sz="0" w:space="0" w:color="auto"/>
            <w:bottom w:val="none" w:sz="0" w:space="0" w:color="auto"/>
            <w:right w:val="none" w:sz="0" w:space="0" w:color="auto"/>
          </w:divBdr>
        </w:div>
        <w:div w:id="1617911926">
          <w:marLeft w:val="0"/>
          <w:marRight w:val="0"/>
          <w:marTop w:val="0"/>
          <w:marBottom w:val="0"/>
          <w:divBdr>
            <w:top w:val="none" w:sz="0" w:space="0" w:color="auto"/>
            <w:left w:val="none" w:sz="0" w:space="0" w:color="auto"/>
            <w:bottom w:val="none" w:sz="0" w:space="0" w:color="auto"/>
            <w:right w:val="none" w:sz="0" w:space="0" w:color="auto"/>
          </w:divBdr>
        </w:div>
        <w:div w:id="1131828355">
          <w:marLeft w:val="0"/>
          <w:marRight w:val="0"/>
          <w:marTop w:val="0"/>
          <w:marBottom w:val="0"/>
          <w:divBdr>
            <w:top w:val="none" w:sz="0" w:space="0" w:color="auto"/>
            <w:left w:val="none" w:sz="0" w:space="0" w:color="auto"/>
            <w:bottom w:val="none" w:sz="0" w:space="0" w:color="auto"/>
            <w:right w:val="none" w:sz="0" w:space="0" w:color="auto"/>
          </w:divBdr>
        </w:div>
        <w:div w:id="1250655128">
          <w:marLeft w:val="0"/>
          <w:marRight w:val="0"/>
          <w:marTop w:val="0"/>
          <w:marBottom w:val="0"/>
          <w:divBdr>
            <w:top w:val="none" w:sz="0" w:space="0" w:color="auto"/>
            <w:left w:val="none" w:sz="0" w:space="0" w:color="auto"/>
            <w:bottom w:val="none" w:sz="0" w:space="0" w:color="auto"/>
            <w:right w:val="none" w:sz="0" w:space="0" w:color="auto"/>
          </w:divBdr>
        </w:div>
        <w:div w:id="497580546">
          <w:marLeft w:val="0"/>
          <w:marRight w:val="0"/>
          <w:marTop w:val="0"/>
          <w:marBottom w:val="0"/>
          <w:divBdr>
            <w:top w:val="none" w:sz="0" w:space="0" w:color="auto"/>
            <w:left w:val="none" w:sz="0" w:space="0" w:color="auto"/>
            <w:bottom w:val="none" w:sz="0" w:space="0" w:color="auto"/>
            <w:right w:val="none" w:sz="0" w:space="0" w:color="auto"/>
          </w:divBdr>
        </w:div>
        <w:div w:id="1220747209">
          <w:marLeft w:val="0"/>
          <w:marRight w:val="0"/>
          <w:marTop w:val="0"/>
          <w:marBottom w:val="0"/>
          <w:divBdr>
            <w:top w:val="none" w:sz="0" w:space="0" w:color="auto"/>
            <w:left w:val="none" w:sz="0" w:space="0" w:color="auto"/>
            <w:bottom w:val="none" w:sz="0" w:space="0" w:color="auto"/>
            <w:right w:val="none" w:sz="0" w:space="0" w:color="auto"/>
          </w:divBdr>
        </w:div>
        <w:div w:id="2069260184">
          <w:marLeft w:val="0"/>
          <w:marRight w:val="0"/>
          <w:marTop w:val="0"/>
          <w:marBottom w:val="0"/>
          <w:divBdr>
            <w:top w:val="none" w:sz="0" w:space="0" w:color="auto"/>
            <w:left w:val="none" w:sz="0" w:space="0" w:color="auto"/>
            <w:bottom w:val="none" w:sz="0" w:space="0" w:color="auto"/>
            <w:right w:val="none" w:sz="0" w:space="0" w:color="auto"/>
          </w:divBdr>
        </w:div>
        <w:div w:id="1268539254">
          <w:marLeft w:val="0"/>
          <w:marRight w:val="0"/>
          <w:marTop w:val="0"/>
          <w:marBottom w:val="0"/>
          <w:divBdr>
            <w:top w:val="none" w:sz="0" w:space="0" w:color="auto"/>
            <w:left w:val="none" w:sz="0" w:space="0" w:color="auto"/>
            <w:bottom w:val="none" w:sz="0" w:space="0" w:color="auto"/>
            <w:right w:val="none" w:sz="0" w:space="0" w:color="auto"/>
          </w:divBdr>
        </w:div>
        <w:div w:id="1134713901">
          <w:marLeft w:val="0"/>
          <w:marRight w:val="0"/>
          <w:marTop w:val="0"/>
          <w:marBottom w:val="0"/>
          <w:divBdr>
            <w:top w:val="none" w:sz="0" w:space="0" w:color="auto"/>
            <w:left w:val="none" w:sz="0" w:space="0" w:color="auto"/>
            <w:bottom w:val="none" w:sz="0" w:space="0" w:color="auto"/>
            <w:right w:val="none" w:sz="0" w:space="0" w:color="auto"/>
          </w:divBdr>
        </w:div>
        <w:div w:id="1625501690">
          <w:marLeft w:val="0"/>
          <w:marRight w:val="0"/>
          <w:marTop w:val="0"/>
          <w:marBottom w:val="0"/>
          <w:divBdr>
            <w:top w:val="none" w:sz="0" w:space="0" w:color="auto"/>
            <w:left w:val="none" w:sz="0" w:space="0" w:color="auto"/>
            <w:bottom w:val="none" w:sz="0" w:space="0" w:color="auto"/>
            <w:right w:val="none" w:sz="0" w:space="0" w:color="auto"/>
          </w:divBdr>
        </w:div>
      </w:divsChild>
    </w:div>
    <w:div w:id="1026952547">
      <w:bodyDiv w:val="1"/>
      <w:marLeft w:val="0"/>
      <w:marRight w:val="0"/>
      <w:marTop w:val="0"/>
      <w:marBottom w:val="0"/>
      <w:divBdr>
        <w:top w:val="none" w:sz="0" w:space="0" w:color="auto"/>
        <w:left w:val="none" w:sz="0" w:space="0" w:color="auto"/>
        <w:bottom w:val="none" w:sz="0" w:space="0" w:color="auto"/>
        <w:right w:val="none" w:sz="0" w:space="0" w:color="auto"/>
      </w:divBdr>
      <w:divsChild>
        <w:div w:id="1588613688">
          <w:marLeft w:val="0"/>
          <w:marRight w:val="0"/>
          <w:marTop w:val="0"/>
          <w:marBottom w:val="0"/>
          <w:divBdr>
            <w:top w:val="none" w:sz="0" w:space="0" w:color="auto"/>
            <w:left w:val="none" w:sz="0" w:space="0" w:color="auto"/>
            <w:bottom w:val="none" w:sz="0" w:space="0" w:color="auto"/>
            <w:right w:val="none" w:sz="0" w:space="0" w:color="auto"/>
          </w:divBdr>
        </w:div>
        <w:div w:id="1027372115">
          <w:marLeft w:val="0"/>
          <w:marRight w:val="0"/>
          <w:marTop w:val="0"/>
          <w:marBottom w:val="0"/>
          <w:divBdr>
            <w:top w:val="none" w:sz="0" w:space="0" w:color="auto"/>
            <w:left w:val="none" w:sz="0" w:space="0" w:color="auto"/>
            <w:bottom w:val="none" w:sz="0" w:space="0" w:color="auto"/>
            <w:right w:val="none" w:sz="0" w:space="0" w:color="auto"/>
          </w:divBdr>
        </w:div>
      </w:divsChild>
    </w:div>
    <w:div w:id="1344669420">
      <w:bodyDiv w:val="1"/>
      <w:marLeft w:val="0"/>
      <w:marRight w:val="0"/>
      <w:marTop w:val="0"/>
      <w:marBottom w:val="0"/>
      <w:divBdr>
        <w:top w:val="none" w:sz="0" w:space="0" w:color="auto"/>
        <w:left w:val="none" w:sz="0" w:space="0" w:color="auto"/>
        <w:bottom w:val="none" w:sz="0" w:space="0" w:color="auto"/>
        <w:right w:val="none" w:sz="0" w:space="0" w:color="auto"/>
      </w:divBdr>
      <w:divsChild>
        <w:div w:id="1854101846">
          <w:marLeft w:val="0"/>
          <w:marRight w:val="0"/>
          <w:marTop w:val="0"/>
          <w:marBottom w:val="0"/>
          <w:divBdr>
            <w:top w:val="none" w:sz="0" w:space="0" w:color="auto"/>
            <w:left w:val="none" w:sz="0" w:space="0" w:color="auto"/>
            <w:bottom w:val="none" w:sz="0" w:space="0" w:color="auto"/>
            <w:right w:val="none" w:sz="0" w:space="0" w:color="auto"/>
          </w:divBdr>
        </w:div>
        <w:div w:id="1232815906">
          <w:marLeft w:val="0"/>
          <w:marRight w:val="0"/>
          <w:marTop w:val="0"/>
          <w:marBottom w:val="0"/>
          <w:divBdr>
            <w:top w:val="none" w:sz="0" w:space="0" w:color="auto"/>
            <w:left w:val="none" w:sz="0" w:space="0" w:color="auto"/>
            <w:bottom w:val="none" w:sz="0" w:space="0" w:color="auto"/>
            <w:right w:val="none" w:sz="0" w:space="0" w:color="auto"/>
          </w:divBdr>
        </w:div>
        <w:div w:id="1976256816">
          <w:marLeft w:val="0"/>
          <w:marRight w:val="0"/>
          <w:marTop w:val="0"/>
          <w:marBottom w:val="0"/>
          <w:divBdr>
            <w:top w:val="none" w:sz="0" w:space="0" w:color="auto"/>
            <w:left w:val="none" w:sz="0" w:space="0" w:color="auto"/>
            <w:bottom w:val="none" w:sz="0" w:space="0" w:color="auto"/>
            <w:right w:val="none" w:sz="0" w:space="0" w:color="auto"/>
          </w:divBdr>
        </w:div>
        <w:div w:id="1698265792">
          <w:marLeft w:val="0"/>
          <w:marRight w:val="0"/>
          <w:marTop w:val="0"/>
          <w:marBottom w:val="0"/>
          <w:divBdr>
            <w:top w:val="none" w:sz="0" w:space="0" w:color="auto"/>
            <w:left w:val="none" w:sz="0" w:space="0" w:color="auto"/>
            <w:bottom w:val="none" w:sz="0" w:space="0" w:color="auto"/>
            <w:right w:val="none" w:sz="0" w:space="0" w:color="auto"/>
          </w:divBdr>
        </w:div>
      </w:divsChild>
    </w:div>
    <w:div w:id="1650357942">
      <w:bodyDiv w:val="1"/>
      <w:marLeft w:val="0"/>
      <w:marRight w:val="0"/>
      <w:marTop w:val="0"/>
      <w:marBottom w:val="0"/>
      <w:divBdr>
        <w:top w:val="none" w:sz="0" w:space="0" w:color="auto"/>
        <w:left w:val="none" w:sz="0" w:space="0" w:color="auto"/>
        <w:bottom w:val="none" w:sz="0" w:space="0" w:color="auto"/>
        <w:right w:val="none" w:sz="0" w:space="0" w:color="auto"/>
      </w:divBdr>
      <w:divsChild>
        <w:div w:id="1398278967">
          <w:marLeft w:val="0"/>
          <w:marRight w:val="0"/>
          <w:marTop w:val="0"/>
          <w:marBottom w:val="0"/>
          <w:divBdr>
            <w:top w:val="none" w:sz="0" w:space="0" w:color="auto"/>
            <w:left w:val="none" w:sz="0" w:space="0" w:color="auto"/>
            <w:bottom w:val="none" w:sz="0" w:space="0" w:color="auto"/>
            <w:right w:val="none" w:sz="0" w:space="0" w:color="auto"/>
          </w:divBdr>
        </w:div>
        <w:div w:id="1226986681">
          <w:marLeft w:val="0"/>
          <w:marRight w:val="0"/>
          <w:marTop w:val="0"/>
          <w:marBottom w:val="0"/>
          <w:divBdr>
            <w:top w:val="none" w:sz="0" w:space="0" w:color="auto"/>
            <w:left w:val="none" w:sz="0" w:space="0" w:color="auto"/>
            <w:bottom w:val="none" w:sz="0" w:space="0" w:color="auto"/>
            <w:right w:val="none" w:sz="0" w:space="0" w:color="auto"/>
          </w:divBdr>
        </w:div>
        <w:div w:id="1824851654">
          <w:marLeft w:val="0"/>
          <w:marRight w:val="0"/>
          <w:marTop w:val="0"/>
          <w:marBottom w:val="0"/>
          <w:divBdr>
            <w:top w:val="none" w:sz="0" w:space="0" w:color="auto"/>
            <w:left w:val="none" w:sz="0" w:space="0" w:color="auto"/>
            <w:bottom w:val="none" w:sz="0" w:space="0" w:color="auto"/>
            <w:right w:val="none" w:sz="0" w:space="0" w:color="auto"/>
          </w:divBdr>
        </w:div>
      </w:divsChild>
    </w:div>
    <w:div w:id="1663050137">
      <w:bodyDiv w:val="1"/>
      <w:marLeft w:val="0"/>
      <w:marRight w:val="0"/>
      <w:marTop w:val="0"/>
      <w:marBottom w:val="0"/>
      <w:divBdr>
        <w:top w:val="none" w:sz="0" w:space="0" w:color="auto"/>
        <w:left w:val="none" w:sz="0" w:space="0" w:color="auto"/>
        <w:bottom w:val="none" w:sz="0" w:space="0" w:color="auto"/>
        <w:right w:val="none" w:sz="0" w:space="0" w:color="auto"/>
      </w:divBdr>
      <w:divsChild>
        <w:div w:id="1771119269">
          <w:marLeft w:val="0"/>
          <w:marRight w:val="0"/>
          <w:marTop w:val="0"/>
          <w:marBottom w:val="0"/>
          <w:divBdr>
            <w:top w:val="none" w:sz="0" w:space="0" w:color="auto"/>
            <w:left w:val="none" w:sz="0" w:space="0" w:color="auto"/>
            <w:bottom w:val="none" w:sz="0" w:space="0" w:color="auto"/>
            <w:right w:val="none" w:sz="0" w:space="0" w:color="auto"/>
          </w:divBdr>
        </w:div>
        <w:div w:id="509107644">
          <w:marLeft w:val="0"/>
          <w:marRight w:val="0"/>
          <w:marTop w:val="0"/>
          <w:marBottom w:val="0"/>
          <w:divBdr>
            <w:top w:val="none" w:sz="0" w:space="0" w:color="auto"/>
            <w:left w:val="none" w:sz="0" w:space="0" w:color="auto"/>
            <w:bottom w:val="none" w:sz="0" w:space="0" w:color="auto"/>
            <w:right w:val="none" w:sz="0" w:space="0" w:color="auto"/>
          </w:divBdr>
        </w:div>
        <w:div w:id="382482625">
          <w:marLeft w:val="0"/>
          <w:marRight w:val="0"/>
          <w:marTop w:val="0"/>
          <w:marBottom w:val="0"/>
          <w:divBdr>
            <w:top w:val="none" w:sz="0" w:space="0" w:color="auto"/>
            <w:left w:val="none" w:sz="0" w:space="0" w:color="auto"/>
            <w:bottom w:val="none" w:sz="0" w:space="0" w:color="auto"/>
            <w:right w:val="none" w:sz="0" w:space="0" w:color="auto"/>
          </w:divBdr>
        </w:div>
        <w:div w:id="127995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ed_blood_cel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lobin.cse.psu.edu"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plotArea>
      <c:layout/>
      <c:barChart>
        <c:barDir val="col"/>
        <c:grouping val="clustered"/>
        <c:ser>
          <c:idx val="0"/>
          <c:order val="0"/>
          <c:tx>
            <c:strRef>
              <c:f>Sheet1!$B$2</c:f>
              <c:strCache>
                <c:ptCount val="1"/>
                <c:pt idx="0">
                  <c:v>Number of cases</c:v>
                </c:pt>
              </c:strCache>
            </c:strRef>
          </c:tx>
          <c:cat>
            <c:strRef>
              <c:f>Sheet1!$A$3:$A$15</c:f>
              <c:strCache>
                <c:ptCount val="13"/>
                <c:pt idx="0">
                  <c:v>BTT</c:v>
                </c:pt>
                <c:pt idx="1">
                  <c:v>Thal major</c:v>
                </c:pt>
                <c:pt idx="2">
                  <c:v>thal inter</c:v>
                </c:pt>
                <c:pt idx="3">
                  <c:v>Homo Hbs</c:v>
                </c:pt>
                <c:pt idx="4">
                  <c:v>hetero Hbs</c:v>
                </c:pt>
                <c:pt idx="5">
                  <c:v>S-ß </c:v>
                </c:pt>
                <c:pt idx="6">
                  <c:v>hetero Hb D</c:v>
                </c:pt>
                <c:pt idx="7">
                  <c:v>hetero Hb E</c:v>
                </c:pt>
                <c:pt idx="8">
                  <c:v>D-ß </c:v>
                </c:pt>
                <c:pt idx="9">
                  <c:v>S-D</c:v>
                </c:pt>
                <c:pt idx="10">
                  <c:v>D-E</c:v>
                </c:pt>
                <c:pt idx="11">
                  <c:v>E-ß </c:v>
                </c:pt>
                <c:pt idx="12">
                  <c:v>HPFH</c:v>
                </c:pt>
              </c:strCache>
            </c:strRef>
          </c:cat>
          <c:val>
            <c:numRef>
              <c:f>Sheet1!$B$3:$B$15</c:f>
              <c:numCache>
                <c:formatCode>General</c:formatCode>
                <c:ptCount val="13"/>
                <c:pt idx="0">
                  <c:v>216</c:v>
                </c:pt>
                <c:pt idx="1">
                  <c:v>17</c:v>
                </c:pt>
                <c:pt idx="2">
                  <c:v>4</c:v>
                </c:pt>
                <c:pt idx="3">
                  <c:v>19</c:v>
                </c:pt>
                <c:pt idx="4">
                  <c:v>96</c:v>
                </c:pt>
                <c:pt idx="5">
                  <c:v>14</c:v>
                </c:pt>
                <c:pt idx="6">
                  <c:v>6</c:v>
                </c:pt>
                <c:pt idx="7">
                  <c:v>1</c:v>
                </c:pt>
                <c:pt idx="8">
                  <c:v>2</c:v>
                </c:pt>
                <c:pt idx="9">
                  <c:v>1</c:v>
                </c:pt>
                <c:pt idx="10">
                  <c:v>1</c:v>
                </c:pt>
                <c:pt idx="11">
                  <c:v>1</c:v>
                </c:pt>
                <c:pt idx="12">
                  <c:v>7</c:v>
                </c:pt>
              </c:numCache>
            </c:numRef>
          </c:val>
        </c:ser>
        <c:axId val="15833344"/>
        <c:axId val="17321984"/>
      </c:barChart>
      <c:catAx>
        <c:axId val="15833344"/>
        <c:scaling>
          <c:orientation val="minMax"/>
        </c:scaling>
        <c:axPos val="b"/>
        <c:tickLblPos val="nextTo"/>
        <c:crossAx val="17321984"/>
        <c:crosses val="autoZero"/>
        <c:auto val="1"/>
        <c:lblAlgn val="ctr"/>
        <c:lblOffset val="100"/>
      </c:catAx>
      <c:valAx>
        <c:axId val="17321984"/>
        <c:scaling>
          <c:orientation val="minMax"/>
        </c:scaling>
        <c:axPos val="l"/>
        <c:majorGridlines/>
        <c:numFmt formatCode="General" sourceLinked="1"/>
        <c:tickLblPos val="nextTo"/>
        <c:crossAx val="15833344"/>
        <c:crosses val="autoZero"/>
        <c:crossBetween val="between"/>
      </c:valAx>
    </c:plotArea>
    <c:legend>
      <c:legendPos val="r"/>
    </c:legend>
    <c:plotVisOnly val="1"/>
  </c:chart>
  <c:spPr>
    <a:ln>
      <a:solidFill>
        <a:srgbClr val="000000">
          <a:alpha val="81176"/>
        </a:srgbClr>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6BEA4-6361-418C-965F-889A6E73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ankur</dc:creator>
  <cp:lastModifiedBy>ankur</cp:lastModifiedBy>
  <cp:revision>5</cp:revision>
  <dcterms:created xsi:type="dcterms:W3CDTF">2017-03-06T16:15:00Z</dcterms:created>
  <dcterms:modified xsi:type="dcterms:W3CDTF">2017-03-06T16:43:00Z</dcterms:modified>
</cp:coreProperties>
</file>