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F7" w:rsidRPr="00B00480" w:rsidRDefault="00912FF7" w:rsidP="00912FF7">
      <w:pPr>
        <w:jc w:val="center"/>
        <w:rPr>
          <w:rFonts w:ascii="Times New Roman" w:hAnsi="Times New Roman"/>
          <w:b/>
          <w:bCs/>
          <w:sz w:val="28"/>
          <w:szCs w:val="28"/>
          <w:u w:val="single"/>
        </w:rPr>
      </w:pPr>
      <w:r w:rsidRPr="00B00480">
        <w:rPr>
          <w:rFonts w:ascii="Times New Roman" w:hAnsi="Times New Roman"/>
          <w:b/>
          <w:bCs/>
          <w:sz w:val="28"/>
          <w:szCs w:val="28"/>
          <w:u w:val="single"/>
        </w:rPr>
        <w:t>MANUSCRIPT (MAIN FILE)</w:t>
      </w:r>
    </w:p>
    <w:p w:rsidR="00B00480" w:rsidRPr="00B00480" w:rsidRDefault="00912FF7" w:rsidP="00B00480">
      <w:pPr>
        <w:spacing w:line="240" w:lineRule="auto"/>
        <w:jc w:val="both"/>
        <w:rPr>
          <w:rFonts w:ascii="Arial" w:hAnsi="Arial" w:cs="Arial"/>
          <w:b/>
          <w:color w:val="000000" w:themeColor="text1"/>
          <w:sz w:val="28"/>
          <w:szCs w:val="28"/>
        </w:rPr>
      </w:pPr>
      <w:commentRangeStart w:id="0"/>
      <w:r w:rsidRPr="00B00480">
        <w:rPr>
          <w:rFonts w:ascii="Times New Roman" w:hAnsi="Times New Roman"/>
          <w:sz w:val="28"/>
          <w:szCs w:val="28"/>
        </w:rPr>
        <w:t>TITLE</w:t>
      </w:r>
      <w:commentRangeEnd w:id="0"/>
      <w:r w:rsidRPr="00B00480">
        <w:rPr>
          <w:rStyle w:val="CommentReference"/>
          <w:sz w:val="28"/>
          <w:szCs w:val="28"/>
        </w:rPr>
        <w:commentReference w:id="0"/>
      </w:r>
      <w:r w:rsidRPr="00B00480">
        <w:rPr>
          <w:rFonts w:ascii="Times New Roman" w:hAnsi="Times New Roman"/>
          <w:sz w:val="28"/>
          <w:szCs w:val="28"/>
        </w:rPr>
        <w:t xml:space="preserve">: </w:t>
      </w:r>
      <w:r w:rsidR="00B00480" w:rsidRPr="00B00480">
        <w:rPr>
          <w:rFonts w:ascii="Arial" w:hAnsi="Arial" w:cs="Arial"/>
          <w:b/>
          <w:color w:val="000000" w:themeColor="text1"/>
          <w:sz w:val="28"/>
          <w:szCs w:val="28"/>
        </w:rPr>
        <w:t>CLINICOPATHOLOGICAL STUDY OF MEDULLARY BREAST CARCINOMA – AN INSTUTUTIONAL STUDY</w:t>
      </w:r>
    </w:p>
    <w:p w:rsidR="00B00480" w:rsidRPr="00B00480" w:rsidRDefault="00B00480" w:rsidP="00B00480">
      <w:pPr>
        <w:pStyle w:val="NormalWeb"/>
        <w:spacing w:before="0" w:beforeAutospacing="0" w:after="0" w:afterAutospacing="0" w:line="360" w:lineRule="auto"/>
        <w:ind w:firstLine="0"/>
        <w:jc w:val="both"/>
        <w:rPr>
          <w:rFonts w:ascii="Times New Roman" w:hAnsi="Times New Roman"/>
          <w:b/>
          <w:sz w:val="28"/>
          <w:szCs w:val="28"/>
        </w:rPr>
      </w:pPr>
    </w:p>
    <w:p w:rsidR="00912FF7" w:rsidRPr="00B00480" w:rsidRDefault="00912FF7" w:rsidP="00912FF7">
      <w:pPr>
        <w:rPr>
          <w:rFonts w:ascii="Times New Roman" w:hAnsi="Times New Roman"/>
          <w:sz w:val="28"/>
          <w:szCs w:val="28"/>
        </w:rPr>
      </w:pPr>
    </w:p>
    <w:p w:rsidR="00912FF7" w:rsidRPr="00B00480" w:rsidRDefault="00912FF7" w:rsidP="00912FF7">
      <w:pPr>
        <w:rPr>
          <w:rFonts w:ascii="Times New Roman" w:hAnsi="Times New Roman"/>
          <w:sz w:val="28"/>
          <w:szCs w:val="28"/>
        </w:rPr>
      </w:pPr>
    </w:p>
    <w:p w:rsidR="00912FF7" w:rsidRPr="00B00480" w:rsidRDefault="00912FF7" w:rsidP="00912FF7">
      <w:pPr>
        <w:jc w:val="center"/>
        <w:rPr>
          <w:rFonts w:ascii="Times New Roman" w:hAnsi="Times New Roman"/>
          <w:b/>
          <w:bCs/>
          <w:sz w:val="28"/>
          <w:szCs w:val="28"/>
          <w:u w:val="single"/>
        </w:rPr>
      </w:pPr>
      <w:commentRangeStart w:id="1"/>
      <w:r w:rsidRPr="00B00480">
        <w:rPr>
          <w:rFonts w:ascii="Times New Roman" w:hAnsi="Times New Roman"/>
          <w:b/>
          <w:bCs/>
          <w:sz w:val="28"/>
          <w:szCs w:val="28"/>
          <w:u w:val="single"/>
        </w:rPr>
        <w:t>ABSTR</w:t>
      </w:r>
      <w:r w:rsidR="002E0FCD">
        <w:rPr>
          <w:rFonts w:ascii="Times New Roman" w:hAnsi="Times New Roman"/>
          <w:b/>
          <w:bCs/>
          <w:sz w:val="28"/>
          <w:szCs w:val="28"/>
          <w:u w:val="single"/>
        </w:rPr>
        <w:t>A</w:t>
      </w:r>
      <w:r w:rsidRPr="00B00480">
        <w:rPr>
          <w:rFonts w:ascii="Times New Roman" w:hAnsi="Times New Roman"/>
          <w:b/>
          <w:bCs/>
          <w:sz w:val="28"/>
          <w:szCs w:val="28"/>
          <w:u w:val="single"/>
        </w:rPr>
        <w:t>CT</w:t>
      </w:r>
      <w:commentRangeEnd w:id="1"/>
      <w:r w:rsidRPr="00B00480">
        <w:rPr>
          <w:rStyle w:val="CommentReference"/>
          <w:sz w:val="28"/>
          <w:szCs w:val="28"/>
        </w:rPr>
        <w:commentReference w:id="1"/>
      </w:r>
    </w:p>
    <w:p w:rsidR="00B00480" w:rsidRPr="00B00480" w:rsidRDefault="00EE63C4" w:rsidP="00B00480">
      <w:pPr>
        <w:pStyle w:val="NoSpacing"/>
        <w:jc w:val="both"/>
        <w:rPr>
          <w:rFonts w:eastAsia="Times New Roman"/>
          <w:b/>
          <w:sz w:val="28"/>
          <w:szCs w:val="28"/>
        </w:rPr>
      </w:pPr>
      <w:r w:rsidRPr="00B00480">
        <w:rPr>
          <w:rFonts w:ascii="Times New Roman" w:hAnsi="Times New Roman"/>
          <w:b/>
          <w:sz w:val="28"/>
          <w:szCs w:val="28"/>
        </w:rPr>
        <w:t>Background:</w:t>
      </w:r>
      <w:r w:rsidR="00B00480" w:rsidRPr="00B00480">
        <w:rPr>
          <w:rFonts w:eastAsia="Times New Roman"/>
          <w:b/>
          <w:sz w:val="28"/>
          <w:szCs w:val="28"/>
        </w:rPr>
        <w:t xml:space="preserve"> </w:t>
      </w:r>
    </w:p>
    <w:p w:rsidR="00912FF7" w:rsidRDefault="00B00480" w:rsidP="00B00480">
      <w:pPr>
        <w:pStyle w:val="NoSpacing"/>
        <w:jc w:val="both"/>
        <w:rPr>
          <w:rFonts w:eastAsia="Times New Roman"/>
          <w:sz w:val="28"/>
          <w:szCs w:val="28"/>
        </w:rPr>
      </w:pPr>
      <w:r w:rsidRPr="00B00480">
        <w:rPr>
          <w:rFonts w:eastAsia="Times New Roman"/>
          <w:sz w:val="28"/>
          <w:szCs w:val="28"/>
        </w:rPr>
        <w:t>Medullary breast carcinoma (MBC) is a rare distinct type of invasive breast ca</w:t>
      </w:r>
      <w:r w:rsidR="00F74BE9">
        <w:rPr>
          <w:rFonts w:eastAsia="Times New Roman"/>
          <w:sz w:val="28"/>
          <w:szCs w:val="28"/>
          <w:vertAlign w:val="superscript"/>
        </w:rPr>
        <w:t xml:space="preserve"> </w:t>
      </w:r>
      <w:r w:rsidR="00B2492D">
        <w:rPr>
          <w:rFonts w:eastAsia="Times New Roman"/>
          <w:sz w:val="28"/>
          <w:szCs w:val="28"/>
        </w:rPr>
        <w:t>with</w:t>
      </w:r>
      <w:r w:rsidRPr="00B00480">
        <w:rPr>
          <w:rFonts w:eastAsia="Times New Roman"/>
          <w:sz w:val="28"/>
          <w:szCs w:val="28"/>
        </w:rPr>
        <w:t xml:space="preserve"> incidence </w:t>
      </w:r>
      <w:r w:rsidR="00B2492D">
        <w:rPr>
          <w:rFonts w:eastAsia="Times New Roman"/>
          <w:sz w:val="28"/>
          <w:szCs w:val="28"/>
        </w:rPr>
        <w:t>being</w:t>
      </w:r>
      <w:r w:rsidRPr="00B00480">
        <w:rPr>
          <w:rFonts w:eastAsia="Times New Roman"/>
          <w:sz w:val="28"/>
          <w:szCs w:val="28"/>
        </w:rPr>
        <w:t xml:space="preserve"> less than 5%. Usually occurs under the age of 50 yrs, often mistaken clinically for fibroadenoma . They are  divided into typical, atypical MBC with a prerequisite of syncytial growth pattern in more than 75% of the tumor cells. MBCs are often hormone (ER, PR, </w:t>
      </w:r>
      <w:r w:rsidR="00F620ED">
        <w:rPr>
          <w:rFonts w:eastAsia="Times New Roman"/>
          <w:sz w:val="28"/>
          <w:szCs w:val="28"/>
        </w:rPr>
        <w:t>Her2</w:t>
      </w:r>
      <w:r w:rsidR="00F74BE9">
        <w:rPr>
          <w:rFonts w:eastAsia="Times New Roman"/>
          <w:sz w:val="28"/>
          <w:szCs w:val="28"/>
        </w:rPr>
        <w:t>/</w:t>
      </w:r>
      <w:r w:rsidR="00F620ED">
        <w:rPr>
          <w:rFonts w:eastAsia="Times New Roman"/>
          <w:sz w:val="28"/>
          <w:szCs w:val="28"/>
        </w:rPr>
        <w:t>neu) negative with grade 3 N</w:t>
      </w:r>
      <w:r w:rsidRPr="00B00480">
        <w:rPr>
          <w:rFonts w:eastAsia="Times New Roman"/>
          <w:sz w:val="28"/>
          <w:szCs w:val="28"/>
        </w:rPr>
        <w:t>ottingham’s criteria but has better prognosis.</w:t>
      </w:r>
    </w:p>
    <w:p w:rsidR="00B00480" w:rsidRPr="00B00480" w:rsidRDefault="00B00480" w:rsidP="00B00480">
      <w:pPr>
        <w:pStyle w:val="NoSpacing"/>
        <w:jc w:val="both"/>
        <w:rPr>
          <w:rFonts w:eastAsia="Times New Roman"/>
          <w:sz w:val="28"/>
          <w:szCs w:val="28"/>
        </w:rPr>
      </w:pPr>
    </w:p>
    <w:p w:rsidR="00912FF7" w:rsidRDefault="00EE63C4" w:rsidP="00B00480">
      <w:pPr>
        <w:pStyle w:val="NoSpacing"/>
        <w:jc w:val="both"/>
        <w:rPr>
          <w:rFonts w:eastAsia="Times New Roman"/>
          <w:sz w:val="28"/>
          <w:szCs w:val="28"/>
        </w:rPr>
      </w:pPr>
      <w:r w:rsidRPr="00B00480">
        <w:rPr>
          <w:rFonts w:ascii="Times New Roman" w:hAnsi="Times New Roman"/>
          <w:b/>
          <w:sz w:val="28"/>
          <w:szCs w:val="28"/>
        </w:rPr>
        <w:t>Methods:</w:t>
      </w:r>
      <w:r w:rsidR="00B00480" w:rsidRPr="00B00480">
        <w:rPr>
          <w:rFonts w:eastAsia="Times New Roman"/>
          <w:sz w:val="28"/>
          <w:szCs w:val="28"/>
        </w:rPr>
        <w:t xml:space="preserve"> Retrospective  study  of invasive carcinoma of the breast was undertaken in pathology department from 2009-2016. Total number of invasive breast carcinoma were 388, of which MBC were 12 cases histologically.Clinical details, gross features </w:t>
      </w:r>
      <w:r w:rsidR="004319DE">
        <w:rPr>
          <w:rFonts w:eastAsia="Times New Roman"/>
          <w:sz w:val="28"/>
          <w:szCs w:val="28"/>
        </w:rPr>
        <w:t xml:space="preserve">were </w:t>
      </w:r>
      <w:r w:rsidR="00B00480" w:rsidRPr="00B00480">
        <w:rPr>
          <w:rFonts w:eastAsia="Times New Roman"/>
          <w:sz w:val="28"/>
          <w:szCs w:val="28"/>
        </w:rPr>
        <w:t>noted. HPE and IHC (ER, PR, Her2</w:t>
      </w:r>
      <w:r w:rsidR="00F74BE9">
        <w:rPr>
          <w:rFonts w:eastAsia="Times New Roman"/>
          <w:sz w:val="28"/>
          <w:szCs w:val="28"/>
        </w:rPr>
        <w:t>/</w:t>
      </w:r>
      <w:r w:rsidR="00B00480" w:rsidRPr="00B00480">
        <w:rPr>
          <w:rFonts w:eastAsia="Times New Roman"/>
          <w:sz w:val="28"/>
          <w:szCs w:val="28"/>
        </w:rPr>
        <w:t>neu) slides</w:t>
      </w:r>
      <w:r w:rsidR="004319DE">
        <w:rPr>
          <w:rFonts w:eastAsia="Times New Roman"/>
          <w:sz w:val="28"/>
          <w:szCs w:val="28"/>
        </w:rPr>
        <w:t xml:space="preserve"> were</w:t>
      </w:r>
      <w:r w:rsidR="00B00480" w:rsidRPr="00B00480">
        <w:rPr>
          <w:rFonts w:eastAsia="Times New Roman"/>
          <w:sz w:val="28"/>
          <w:szCs w:val="28"/>
        </w:rPr>
        <w:t xml:space="preserve"> reviewed.</w:t>
      </w:r>
    </w:p>
    <w:p w:rsidR="00B00480" w:rsidRPr="00B00480" w:rsidRDefault="00B00480" w:rsidP="00B00480">
      <w:pPr>
        <w:pStyle w:val="NoSpacing"/>
        <w:jc w:val="both"/>
        <w:rPr>
          <w:rFonts w:eastAsia="Times New Roman"/>
          <w:sz w:val="28"/>
          <w:szCs w:val="28"/>
        </w:rPr>
      </w:pPr>
    </w:p>
    <w:p w:rsidR="00EE63C4" w:rsidRPr="00B00480" w:rsidRDefault="00EE63C4" w:rsidP="00EE63C4">
      <w:pPr>
        <w:rPr>
          <w:rFonts w:ascii="Times New Roman" w:hAnsi="Times New Roman"/>
          <w:b/>
          <w:sz w:val="28"/>
          <w:szCs w:val="28"/>
        </w:rPr>
      </w:pPr>
      <w:r w:rsidRPr="00B00480">
        <w:rPr>
          <w:rFonts w:ascii="Times New Roman" w:hAnsi="Times New Roman"/>
          <w:b/>
          <w:sz w:val="28"/>
          <w:szCs w:val="28"/>
        </w:rPr>
        <w:t>Result:</w:t>
      </w:r>
      <w:r w:rsidR="00B00480" w:rsidRPr="00B00480">
        <w:rPr>
          <w:rFonts w:eastAsia="Times New Roman"/>
          <w:sz w:val="28"/>
          <w:szCs w:val="28"/>
        </w:rPr>
        <w:t xml:space="preserve"> Age range was 35 – 64 yrs, with a mean of 49.08 years. All presented clinically as solitary lump in breast.  No side predilection. Most common site aff</w:t>
      </w:r>
      <w:r w:rsidR="00F74BE9">
        <w:rPr>
          <w:rFonts w:eastAsia="Times New Roman"/>
          <w:sz w:val="28"/>
          <w:szCs w:val="28"/>
        </w:rPr>
        <w:t xml:space="preserve">ected was upper inner quadrant </w:t>
      </w:r>
      <w:r w:rsidR="00B00480" w:rsidRPr="00B00480">
        <w:rPr>
          <w:rFonts w:eastAsia="Times New Roman"/>
          <w:sz w:val="28"/>
          <w:szCs w:val="28"/>
        </w:rPr>
        <w:t xml:space="preserve">consitituing around 50%(6 out of 12) of cases.  Overall tumour size ranged from </w:t>
      </w:r>
      <w:r w:rsidR="00F74BE9">
        <w:rPr>
          <w:rFonts w:eastAsia="Times New Roman"/>
          <w:sz w:val="28"/>
          <w:szCs w:val="28"/>
        </w:rPr>
        <w:t xml:space="preserve">2.5 to 6 </w:t>
      </w:r>
      <w:r w:rsidR="00516184">
        <w:rPr>
          <w:rFonts w:eastAsia="Times New Roman"/>
          <w:sz w:val="28"/>
          <w:szCs w:val="28"/>
        </w:rPr>
        <w:t>cms  with a mean of 3.6</w:t>
      </w:r>
      <w:r w:rsidR="00B00480" w:rsidRPr="00B00480">
        <w:rPr>
          <w:rFonts w:eastAsia="Times New Roman"/>
          <w:sz w:val="28"/>
          <w:szCs w:val="28"/>
        </w:rPr>
        <w:t xml:space="preserve"> cms  in  typical and 4.25 cms in atypical  MBC. Grossly majority of the tumors were soft to firm in consistency.  Histologically 10 out of 12 cases ( 83.3%) were typical MBC and 2 cases were  atypical MBC</w:t>
      </w:r>
      <w:r w:rsidR="004D4D3C">
        <w:rPr>
          <w:rFonts w:eastAsia="Times New Roman"/>
          <w:sz w:val="28"/>
          <w:szCs w:val="28"/>
        </w:rPr>
        <w:t xml:space="preserve"> </w:t>
      </w:r>
      <w:r w:rsidR="00B00480" w:rsidRPr="00B00480">
        <w:rPr>
          <w:rFonts w:eastAsia="Times New Roman"/>
          <w:sz w:val="28"/>
          <w:szCs w:val="28"/>
        </w:rPr>
        <w:t>(16.7%)</w:t>
      </w:r>
      <w:r w:rsidR="004D4D3C">
        <w:rPr>
          <w:rFonts w:eastAsia="Times New Roman"/>
          <w:sz w:val="28"/>
          <w:szCs w:val="28"/>
        </w:rPr>
        <w:t xml:space="preserve"> </w:t>
      </w:r>
      <w:r w:rsidR="00B00480" w:rsidRPr="00B00480">
        <w:rPr>
          <w:rFonts w:eastAsia="Times New Roman"/>
          <w:sz w:val="28"/>
          <w:szCs w:val="28"/>
        </w:rPr>
        <w:t>.</w:t>
      </w:r>
      <w:r w:rsidR="004D4D3C">
        <w:rPr>
          <w:rFonts w:eastAsia="Times New Roman"/>
          <w:sz w:val="28"/>
          <w:szCs w:val="28"/>
        </w:rPr>
        <w:t xml:space="preserve"> </w:t>
      </w:r>
      <w:r w:rsidR="00B00480" w:rsidRPr="00B00480">
        <w:rPr>
          <w:rFonts w:eastAsia="Times New Roman"/>
          <w:sz w:val="28"/>
          <w:szCs w:val="28"/>
        </w:rPr>
        <w:t>IHC showed triple negativity</w:t>
      </w:r>
      <w:r w:rsidR="00F74BE9">
        <w:rPr>
          <w:rFonts w:eastAsia="Times New Roman"/>
          <w:sz w:val="28"/>
          <w:szCs w:val="28"/>
        </w:rPr>
        <w:t xml:space="preserve"> in 75%  </w:t>
      </w:r>
      <w:r w:rsidR="004D4D3C">
        <w:rPr>
          <w:rFonts w:eastAsia="Times New Roman"/>
          <w:sz w:val="28"/>
          <w:szCs w:val="28"/>
        </w:rPr>
        <w:t xml:space="preserve">of  MBC </w:t>
      </w:r>
      <w:r w:rsidR="00B00480" w:rsidRPr="00B00480">
        <w:rPr>
          <w:rFonts w:eastAsia="Times New Roman"/>
          <w:sz w:val="28"/>
          <w:szCs w:val="28"/>
        </w:rPr>
        <w:t>with majority  in typical MBC (80 %)</w:t>
      </w:r>
    </w:p>
    <w:p w:rsidR="00EE63C4" w:rsidRPr="00B00480" w:rsidRDefault="00EE63C4" w:rsidP="00EE63C4">
      <w:pPr>
        <w:rPr>
          <w:rFonts w:ascii="Times New Roman" w:hAnsi="Times New Roman"/>
          <w:b/>
          <w:sz w:val="28"/>
          <w:szCs w:val="28"/>
        </w:rPr>
      </w:pPr>
      <w:r w:rsidRPr="00B00480">
        <w:rPr>
          <w:rFonts w:ascii="Times New Roman" w:hAnsi="Times New Roman"/>
          <w:b/>
          <w:sz w:val="28"/>
          <w:szCs w:val="28"/>
        </w:rPr>
        <w:t xml:space="preserve">Conclusion: </w:t>
      </w:r>
      <w:r w:rsidR="00B00480" w:rsidRPr="00B00480">
        <w:rPr>
          <w:rFonts w:eastAsia="Times New Roman"/>
          <w:sz w:val="28"/>
          <w:szCs w:val="28"/>
        </w:rPr>
        <w:t>MBC is unique type of breast carcinoma with good prognosis. Histopathology plays  important role in diagnosing variants of MBC since the  treatment differs.</w:t>
      </w:r>
    </w:p>
    <w:p w:rsidR="00912FF7" w:rsidRPr="00B00480" w:rsidRDefault="00912FF7" w:rsidP="00B00480">
      <w:pPr>
        <w:rPr>
          <w:rFonts w:ascii="Times New Roman" w:hAnsi="Times New Roman"/>
          <w:b/>
          <w:sz w:val="28"/>
          <w:szCs w:val="28"/>
        </w:rPr>
      </w:pPr>
      <w:r w:rsidRPr="00B00480">
        <w:rPr>
          <w:rFonts w:ascii="Times New Roman" w:hAnsi="Times New Roman"/>
          <w:b/>
          <w:sz w:val="28"/>
          <w:szCs w:val="28"/>
        </w:rPr>
        <w:t>KEYWOR</w:t>
      </w:r>
      <w:r w:rsidR="00B00480">
        <w:rPr>
          <w:rFonts w:ascii="Times New Roman" w:hAnsi="Times New Roman"/>
          <w:b/>
          <w:sz w:val="28"/>
          <w:szCs w:val="28"/>
        </w:rPr>
        <w:t>DS</w:t>
      </w:r>
      <w:r w:rsidR="0046195D">
        <w:rPr>
          <w:rFonts w:ascii="Times New Roman" w:hAnsi="Times New Roman"/>
          <w:b/>
          <w:sz w:val="28"/>
          <w:szCs w:val="28"/>
        </w:rPr>
        <w:t>:  Medullary, breast carcinoma,</w:t>
      </w:r>
      <w:r w:rsidR="00975FC2">
        <w:rPr>
          <w:rFonts w:ascii="Times New Roman" w:hAnsi="Times New Roman"/>
          <w:b/>
          <w:sz w:val="28"/>
          <w:szCs w:val="28"/>
        </w:rPr>
        <w:t xml:space="preserve"> </w:t>
      </w:r>
      <w:r w:rsidR="0046195D">
        <w:rPr>
          <w:rFonts w:ascii="Times New Roman" w:hAnsi="Times New Roman"/>
          <w:b/>
          <w:sz w:val="28"/>
          <w:szCs w:val="28"/>
        </w:rPr>
        <w:t>t</w:t>
      </w:r>
      <w:r w:rsidR="00B00480">
        <w:rPr>
          <w:rFonts w:ascii="Times New Roman" w:hAnsi="Times New Roman"/>
          <w:b/>
          <w:sz w:val="28"/>
          <w:szCs w:val="28"/>
        </w:rPr>
        <w:t>ypical, atypical,  histopathology,</w:t>
      </w:r>
      <w:r w:rsidR="00975FC2">
        <w:rPr>
          <w:rFonts w:ascii="Times New Roman" w:hAnsi="Times New Roman"/>
          <w:b/>
          <w:sz w:val="28"/>
          <w:szCs w:val="28"/>
        </w:rPr>
        <w:t xml:space="preserve"> </w:t>
      </w:r>
      <w:r w:rsidR="00B00480">
        <w:rPr>
          <w:rFonts w:ascii="Times New Roman" w:hAnsi="Times New Roman"/>
          <w:b/>
          <w:sz w:val="28"/>
          <w:szCs w:val="28"/>
        </w:rPr>
        <w:t>IHC</w:t>
      </w:r>
    </w:p>
    <w:p w:rsidR="00912FF7" w:rsidRPr="00B00480" w:rsidRDefault="00912FF7" w:rsidP="00E664A8">
      <w:pPr>
        <w:jc w:val="center"/>
        <w:rPr>
          <w:rFonts w:ascii="Times New Roman" w:hAnsi="Times New Roman"/>
          <w:b/>
          <w:sz w:val="28"/>
          <w:szCs w:val="28"/>
        </w:rPr>
      </w:pPr>
      <w:r w:rsidRPr="00B00480">
        <w:rPr>
          <w:rFonts w:ascii="Times New Roman" w:hAnsi="Times New Roman"/>
          <w:sz w:val="28"/>
          <w:szCs w:val="28"/>
        </w:rPr>
        <w:br w:type="page"/>
      </w:r>
      <w:r w:rsidRPr="00B00480">
        <w:rPr>
          <w:rFonts w:ascii="Times New Roman" w:hAnsi="Times New Roman"/>
          <w:b/>
          <w:bCs/>
          <w:sz w:val="28"/>
          <w:szCs w:val="28"/>
          <w:u w:val="single"/>
        </w:rPr>
        <w:lastRenderedPageBreak/>
        <w:t xml:space="preserve">MAIN </w:t>
      </w:r>
      <w:commentRangeStart w:id="2"/>
      <w:r w:rsidRPr="00B00480">
        <w:rPr>
          <w:rFonts w:ascii="Times New Roman" w:hAnsi="Times New Roman"/>
          <w:b/>
          <w:bCs/>
          <w:sz w:val="28"/>
          <w:szCs w:val="28"/>
          <w:u w:val="single"/>
        </w:rPr>
        <w:t>TEXT</w:t>
      </w:r>
      <w:commentRangeEnd w:id="2"/>
      <w:r w:rsidR="00E664A8" w:rsidRPr="00B00480">
        <w:rPr>
          <w:rStyle w:val="CommentReference"/>
          <w:sz w:val="28"/>
          <w:szCs w:val="28"/>
        </w:rPr>
        <w:commentReference w:id="2"/>
      </w:r>
    </w:p>
    <w:p w:rsidR="00E664A8" w:rsidRPr="00B00480" w:rsidRDefault="00E664A8" w:rsidP="00E664A8">
      <w:pPr>
        <w:jc w:val="center"/>
        <w:rPr>
          <w:rFonts w:ascii="Times New Roman" w:hAnsi="Times New Roman"/>
          <w:b/>
          <w:sz w:val="28"/>
          <w:szCs w:val="28"/>
        </w:rPr>
      </w:pPr>
    </w:p>
    <w:p w:rsidR="00F71880" w:rsidRPr="00B00480" w:rsidRDefault="00912FF7" w:rsidP="00F71880">
      <w:pPr>
        <w:rPr>
          <w:rFonts w:ascii="Times New Roman" w:hAnsi="Times New Roman"/>
          <w:sz w:val="28"/>
          <w:szCs w:val="28"/>
          <w:u w:val="single"/>
        </w:rPr>
      </w:pPr>
      <w:commentRangeStart w:id="3"/>
      <w:r w:rsidRPr="00B00480">
        <w:rPr>
          <w:rFonts w:ascii="Times New Roman" w:hAnsi="Times New Roman"/>
          <w:b/>
          <w:sz w:val="28"/>
          <w:szCs w:val="28"/>
        </w:rPr>
        <w:t>INTRODUCTION</w:t>
      </w:r>
      <w:commentRangeEnd w:id="3"/>
      <w:r w:rsidRPr="00B00480">
        <w:rPr>
          <w:rStyle w:val="CommentReference"/>
          <w:sz w:val="28"/>
          <w:szCs w:val="28"/>
        </w:rPr>
        <w:commentReference w:id="3"/>
      </w:r>
      <w:r w:rsidRPr="00B00480">
        <w:rPr>
          <w:rFonts w:ascii="Times New Roman" w:hAnsi="Times New Roman"/>
          <w:sz w:val="28"/>
          <w:szCs w:val="28"/>
          <w:u w:val="single"/>
        </w:rPr>
        <w:t xml:space="preserve">: </w:t>
      </w:r>
      <w:r w:rsidR="00B00480" w:rsidRPr="0003778D">
        <w:rPr>
          <w:rFonts w:ascii="Arial" w:hAnsi="Arial" w:cs="Arial"/>
          <w:color w:val="000000" w:themeColor="text1"/>
          <w:sz w:val="24"/>
          <w:szCs w:val="24"/>
        </w:rPr>
        <w:t xml:space="preserve">Medullary breast carcinoma (MBC) is a rare, distinct type of invasive breast carcinoma </w:t>
      </w:r>
      <w:r w:rsidR="00B00480" w:rsidRPr="0003778D">
        <w:rPr>
          <w:rFonts w:ascii="Arial" w:hAnsi="Arial" w:cs="Arial"/>
          <w:color w:val="000000" w:themeColor="text1"/>
          <w:sz w:val="24"/>
          <w:szCs w:val="24"/>
          <w:vertAlign w:val="superscript"/>
        </w:rPr>
        <w:t xml:space="preserve">1 </w:t>
      </w:r>
      <w:r w:rsidR="00A15785">
        <w:rPr>
          <w:rFonts w:ascii="Arial" w:hAnsi="Arial" w:cs="Arial"/>
          <w:color w:val="000000" w:themeColor="text1"/>
          <w:sz w:val="24"/>
          <w:szCs w:val="24"/>
        </w:rPr>
        <w:t xml:space="preserve">with </w:t>
      </w:r>
      <w:r w:rsidR="00B00480" w:rsidRPr="0003778D">
        <w:rPr>
          <w:rFonts w:ascii="Arial" w:hAnsi="Arial" w:cs="Arial"/>
          <w:color w:val="000000" w:themeColor="text1"/>
          <w:sz w:val="24"/>
          <w:szCs w:val="24"/>
        </w:rPr>
        <w:t xml:space="preserve"> incidence of less than 5% of invasive breast ca</w:t>
      </w:r>
      <w:r w:rsidR="000C455C">
        <w:rPr>
          <w:rFonts w:ascii="Arial" w:hAnsi="Arial" w:cs="Arial"/>
          <w:color w:val="000000" w:themeColor="text1"/>
          <w:sz w:val="24"/>
          <w:szCs w:val="24"/>
        </w:rPr>
        <w:t>rcinoma</w:t>
      </w:r>
      <w:r w:rsidR="00B00480" w:rsidRPr="0003778D">
        <w:rPr>
          <w:rFonts w:ascii="Arial" w:hAnsi="Arial" w:cs="Arial"/>
          <w:color w:val="000000" w:themeColor="text1"/>
          <w:sz w:val="24"/>
          <w:szCs w:val="24"/>
        </w:rPr>
        <w:t>.</w:t>
      </w:r>
      <w:r w:rsidR="00B00480" w:rsidRPr="0003778D">
        <w:rPr>
          <w:rFonts w:ascii="Arial" w:hAnsi="Arial" w:cs="Arial"/>
          <w:color w:val="000000" w:themeColor="text1"/>
          <w:sz w:val="24"/>
          <w:szCs w:val="24"/>
          <w:vertAlign w:val="superscript"/>
        </w:rPr>
        <w:t>1,2</w:t>
      </w:r>
      <w:r w:rsidR="00B00480" w:rsidRPr="0003778D">
        <w:rPr>
          <w:rFonts w:ascii="Arial" w:hAnsi="Arial" w:cs="Arial"/>
          <w:color w:val="000000" w:themeColor="text1"/>
          <w:sz w:val="24"/>
          <w:szCs w:val="24"/>
        </w:rPr>
        <w:t xml:space="preserve"> Usually occurs under age of 50 years, often mistaken clinically for fibroadenoma.</w:t>
      </w:r>
      <w:r w:rsidR="00B00480" w:rsidRPr="0003778D">
        <w:rPr>
          <w:rFonts w:ascii="Arial" w:hAnsi="Arial" w:cs="Arial"/>
          <w:color w:val="000000" w:themeColor="text1"/>
          <w:sz w:val="24"/>
          <w:szCs w:val="24"/>
          <w:vertAlign w:val="superscript"/>
        </w:rPr>
        <w:t>3</w:t>
      </w:r>
      <w:r w:rsidR="00B00480" w:rsidRPr="0003778D">
        <w:rPr>
          <w:rFonts w:ascii="Arial" w:hAnsi="Arial" w:cs="Arial"/>
          <w:color w:val="000000" w:themeColor="text1"/>
          <w:sz w:val="24"/>
          <w:szCs w:val="24"/>
        </w:rPr>
        <w:t xml:space="preserve"> MBC are  divided into typical and atypical medullary carcinomas ,  with a prerequisite of syncytial growth pattern in &gt;75% of the tumor cells in both. Syncytial growth pattern is characterized by  tumor cells  arranged  in sheets, usually more than four or five cells thick, separated by small amounts of loose connective tissue.</w:t>
      </w:r>
      <w:r w:rsidR="00B00480" w:rsidRPr="0003778D">
        <w:rPr>
          <w:rFonts w:ascii="Arial" w:hAnsi="Arial" w:cs="Arial"/>
          <w:color w:val="000000" w:themeColor="text1"/>
          <w:sz w:val="24"/>
          <w:szCs w:val="24"/>
          <w:vertAlign w:val="superscript"/>
        </w:rPr>
        <w:t>4</w:t>
      </w:r>
      <w:r w:rsidR="00B00480" w:rsidRPr="0003778D">
        <w:rPr>
          <w:rFonts w:ascii="Arial" w:hAnsi="Arial" w:cs="Arial"/>
          <w:color w:val="000000" w:themeColor="text1"/>
          <w:sz w:val="24"/>
          <w:szCs w:val="24"/>
        </w:rPr>
        <w:t xml:space="preserve"> Typical MBC is characterised  by a constellation of  five histological features, as defined first by Ridolfi et al</w:t>
      </w:r>
      <w:r w:rsidR="00B00480" w:rsidRPr="0003778D">
        <w:rPr>
          <w:rFonts w:ascii="Arial" w:hAnsi="Arial" w:cs="Arial"/>
          <w:color w:val="000000" w:themeColor="text1"/>
          <w:sz w:val="24"/>
          <w:szCs w:val="24"/>
          <w:vertAlign w:val="superscript"/>
        </w:rPr>
        <w:t xml:space="preserve"> </w:t>
      </w:r>
      <w:r w:rsidR="00B00480" w:rsidRPr="0003778D">
        <w:rPr>
          <w:rFonts w:ascii="Arial" w:hAnsi="Arial" w:cs="Arial"/>
          <w:color w:val="000000" w:themeColor="text1"/>
          <w:sz w:val="24"/>
          <w:szCs w:val="24"/>
        </w:rPr>
        <w:t>in 1977.</w:t>
      </w:r>
      <w:r w:rsidR="00B00480" w:rsidRPr="0003778D">
        <w:rPr>
          <w:rFonts w:ascii="Arial" w:hAnsi="Arial" w:cs="Arial"/>
          <w:color w:val="000000" w:themeColor="text1"/>
          <w:sz w:val="24"/>
          <w:szCs w:val="24"/>
          <w:vertAlign w:val="superscript"/>
        </w:rPr>
        <w:t xml:space="preserve">2 </w:t>
      </w:r>
      <w:r w:rsidR="00B00480" w:rsidRPr="0003778D">
        <w:rPr>
          <w:rFonts w:ascii="Arial" w:hAnsi="Arial" w:cs="Arial"/>
          <w:color w:val="000000" w:themeColor="text1"/>
          <w:sz w:val="24"/>
          <w:szCs w:val="24"/>
        </w:rPr>
        <w:t>These carcinomas are often hormone (ER, PR, Her2</w:t>
      </w:r>
      <w:r w:rsidR="005640E7">
        <w:rPr>
          <w:rFonts w:ascii="Arial" w:hAnsi="Arial" w:cs="Arial"/>
          <w:color w:val="000000" w:themeColor="text1"/>
          <w:sz w:val="24"/>
          <w:szCs w:val="24"/>
        </w:rPr>
        <w:t>/</w:t>
      </w:r>
      <w:r w:rsidR="00B00480" w:rsidRPr="0003778D">
        <w:rPr>
          <w:rFonts w:ascii="Arial" w:hAnsi="Arial" w:cs="Arial"/>
          <w:color w:val="000000" w:themeColor="text1"/>
          <w:sz w:val="24"/>
          <w:szCs w:val="24"/>
        </w:rPr>
        <w:t xml:space="preserve">neu) negative with grade 3 </w:t>
      </w:r>
      <w:r w:rsidR="009C1808">
        <w:rPr>
          <w:rFonts w:ascii="Arial" w:hAnsi="Arial" w:cs="Arial"/>
          <w:color w:val="000000" w:themeColor="text1"/>
          <w:sz w:val="24"/>
          <w:szCs w:val="24"/>
        </w:rPr>
        <w:t>N</w:t>
      </w:r>
      <w:r w:rsidR="00B00480" w:rsidRPr="0003778D">
        <w:rPr>
          <w:rFonts w:ascii="Arial" w:hAnsi="Arial" w:cs="Arial"/>
          <w:color w:val="000000" w:themeColor="text1"/>
          <w:sz w:val="24"/>
          <w:szCs w:val="24"/>
        </w:rPr>
        <w:t>ottinghams criteria ,basal phenotype ;but have a better prognosis.</w:t>
      </w:r>
      <w:r w:rsidR="00B00480" w:rsidRPr="0003778D">
        <w:rPr>
          <w:rFonts w:ascii="Arial" w:hAnsi="Arial" w:cs="Arial"/>
          <w:color w:val="000000" w:themeColor="text1"/>
          <w:sz w:val="24"/>
          <w:szCs w:val="24"/>
          <w:vertAlign w:val="superscript"/>
        </w:rPr>
        <w:t xml:space="preserve">2 </w:t>
      </w:r>
      <w:r w:rsidR="00B00480" w:rsidRPr="0003778D">
        <w:rPr>
          <w:rFonts w:ascii="Arial" w:hAnsi="Arial" w:cs="Arial"/>
          <w:color w:val="000000" w:themeColor="text1"/>
          <w:sz w:val="24"/>
          <w:szCs w:val="24"/>
        </w:rPr>
        <w:t>Strong association of marked inflammation with better prognosis is seen in triple negative carcinomas.</w:t>
      </w:r>
      <w:r w:rsidR="00B00480" w:rsidRPr="0003778D">
        <w:rPr>
          <w:rFonts w:ascii="Arial" w:hAnsi="Arial" w:cs="Arial"/>
          <w:color w:val="000000" w:themeColor="text1"/>
          <w:sz w:val="24"/>
          <w:szCs w:val="24"/>
          <w:vertAlign w:val="superscript"/>
        </w:rPr>
        <w:t>5</w:t>
      </w:r>
      <w:r w:rsidR="00B00480" w:rsidRPr="0003778D">
        <w:rPr>
          <w:rFonts w:ascii="Arial" w:hAnsi="Arial" w:cs="Arial"/>
          <w:color w:val="000000" w:themeColor="text1"/>
          <w:sz w:val="24"/>
          <w:szCs w:val="24"/>
        </w:rPr>
        <w:t xml:space="preserve"> Presence of lymphocytes and plasma cells enables to keep in check MBC, prevents growth and spread quickly.</w:t>
      </w:r>
      <w:r w:rsidR="00B00480" w:rsidRPr="0003778D">
        <w:rPr>
          <w:rFonts w:ascii="Arial" w:hAnsi="Arial" w:cs="Arial"/>
          <w:color w:val="000000" w:themeColor="text1"/>
          <w:sz w:val="24"/>
          <w:szCs w:val="24"/>
          <w:vertAlign w:val="superscript"/>
        </w:rPr>
        <w:t>1</w:t>
      </w:r>
      <w:r w:rsidR="00B00480" w:rsidRPr="0003778D">
        <w:rPr>
          <w:rFonts w:ascii="Arial" w:hAnsi="Arial" w:cs="Arial"/>
          <w:color w:val="000000" w:themeColor="text1"/>
          <w:sz w:val="24"/>
          <w:szCs w:val="24"/>
        </w:rPr>
        <w:t xml:space="preserve"> </w:t>
      </w:r>
      <w:r w:rsidR="00B00480" w:rsidRPr="0003778D">
        <w:rPr>
          <w:rFonts w:ascii="Arial" w:hAnsi="Arial" w:cs="Arial"/>
          <w:color w:val="000000" w:themeColor="text1"/>
          <w:sz w:val="24"/>
          <w:szCs w:val="24"/>
          <w:vertAlign w:val="superscript"/>
        </w:rPr>
        <w:t xml:space="preserve"> </w:t>
      </w:r>
      <w:r w:rsidR="00B00480" w:rsidRPr="0003778D">
        <w:rPr>
          <w:rFonts w:ascii="Arial" w:hAnsi="Arial" w:cs="Arial"/>
          <w:color w:val="000000" w:themeColor="text1"/>
          <w:sz w:val="24"/>
          <w:szCs w:val="24"/>
        </w:rPr>
        <w:t>Over all five year</w:t>
      </w:r>
      <w:r w:rsidR="00B00480" w:rsidRPr="0003778D">
        <w:rPr>
          <w:rFonts w:ascii="Arial" w:hAnsi="Arial" w:cs="Arial"/>
          <w:color w:val="000000" w:themeColor="text1"/>
          <w:sz w:val="24"/>
          <w:szCs w:val="24"/>
          <w:vertAlign w:val="superscript"/>
        </w:rPr>
        <w:t xml:space="preserve"> </w:t>
      </w:r>
      <w:r w:rsidR="00B00480" w:rsidRPr="0003778D">
        <w:rPr>
          <w:rFonts w:ascii="Arial" w:hAnsi="Arial" w:cs="Arial"/>
          <w:color w:val="000000" w:themeColor="text1"/>
          <w:sz w:val="24"/>
          <w:szCs w:val="24"/>
        </w:rPr>
        <w:t>survival rates is 95% in typical, 80% in atypical medullary carcinoma  and 70% in invasive breast carcinoma</w:t>
      </w:r>
      <w:r w:rsidR="00B00480" w:rsidRPr="0003778D">
        <w:rPr>
          <w:rFonts w:ascii="Arial" w:hAnsi="Arial" w:cs="Arial"/>
          <w:color w:val="000000" w:themeColor="text1"/>
          <w:sz w:val="24"/>
          <w:szCs w:val="24"/>
          <w:vertAlign w:val="superscript"/>
        </w:rPr>
        <w:t>6</w:t>
      </w:r>
      <w:r w:rsidR="00B00480">
        <w:rPr>
          <w:rFonts w:ascii="Arial" w:hAnsi="Arial" w:cs="Arial"/>
          <w:color w:val="000000" w:themeColor="text1"/>
          <w:sz w:val="24"/>
          <w:szCs w:val="24"/>
          <w:vertAlign w:val="superscript"/>
        </w:rPr>
        <w:t>.</w:t>
      </w:r>
      <w:r w:rsidR="00B00480">
        <w:rPr>
          <w:rFonts w:ascii="Arial" w:hAnsi="Arial" w:cs="Arial"/>
          <w:color w:val="000000" w:themeColor="text1"/>
          <w:sz w:val="24"/>
          <w:szCs w:val="24"/>
        </w:rPr>
        <w:t xml:space="preserve">.In this background the study was undertaken to </w:t>
      </w:r>
      <w:r w:rsidR="00B00480" w:rsidRPr="0003778D">
        <w:rPr>
          <w:rFonts w:ascii="Arial" w:hAnsi="Arial" w:cs="Arial"/>
          <w:color w:val="000000" w:themeColor="text1"/>
          <w:sz w:val="24"/>
          <w:szCs w:val="24"/>
        </w:rPr>
        <w:t xml:space="preserve"> evaluate the prevalence of MBC and to study the clinicopathological and immunohistochemical profile in typical and atypical MBC</w:t>
      </w:r>
      <w:r w:rsidR="00A46289">
        <w:rPr>
          <w:rFonts w:ascii="Arial" w:hAnsi="Arial" w:cs="Arial"/>
          <w:color w:val="000000" w:themeColor="text1"/>
          <w:sz w:val="24"/>
          <w:szCs w:val="24"/>
        </w:rPr>
        <w:t>.</w:t>
      </w:r>
    </w:p>
    <w:p w:rsidR="00F71880" w:rsidRDefault="0044200D" w:rsidP="00F71880">
      <w:pPr>
        <w:rPr>
          <w:rFonts w:ascii="Times New Roman" w:hAnsi="Times New Roman"/>
          <w:b/>
          <w:sz w:val="28"/>
          <w:szCs w:val="28"/>
        </w:rPr>
      </w:pPr>
      <w:r w:rsidRPr="00B00480">
        <w:rPr>
          <w:rFonts w:ascii="Times New Roman" w:hAnsi="Times New Roman"/>
          <w:b/>
          <w:sz w:val="28"/>
          <w:szCs w:val="28"/>
        </w:rPr>
        <w:t xml:space="preserve">MATERIALS AND </w:t>
      </w:r>
      <w:commentRangeStart w:id="4"/>
      <w:r w:rsidRPr="00B00480">
        <w:rPr>
          <w:rFonts w:ascii="Times New Roman" w:hAnsi="Times New Roman"/>
          <w:b/>
          <w:sz w:val="28"/>
          <w:szCs w:val="28"/>
        </w:rPr>
        <w:t>METHODS</w:t>
      </w:r>
      <w:commentRangeEnd w:id="4"/>
      <w:r w:rsidR="00912FF7" w:rsidRPr="00B00480">
        <w:rPr>
          <w:rStyle w:val="CommentReference"/>
          <w:sz w:val="28"/>
          <w:szCs w:val="28"/>
        </w:rPr>
        <w:commentReference w:id="4"/>
      </w:r>
      <w:r w:rsidR="00912FF7" w:rsidRPr="00B00480">
        <w:rPr>
          <w:rFonts w:ascii="Times New Roman" w:hAnsi="Times New Roman"/>
          <w:b/>
          <w:sz w:val="28"/>
          <w:szCs w:val="28"/>
        </w:rPr>
        <w:t>:</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Retrospective study of invasive carcinoma of the breast was undertaken in the department of pathology from 2009-2016. Total number of invasive breast carcinomas were 388, of which 12 cases were medullary carcinoma  on  histomorphology.  All the 12 cases of MBCs were taken up for the study. The clinical data such as age of patient, nature of surgery etc were collected from the medical records. Gross features of specimen and appearance on cut surface were noted. Histopathology and IHC ( ER, PR, Her2</w:t>
      </w:r>
      <w:r w:rsidR="005640E7">
        <w:rPr>
          <w:rFonts w:ascii="Arial" w:hAnsi="Arial" w:cs="Arial"/>
          <w:color w:val="000000" w:themeColor="text1"/>
          <w:sz w:val="24"/>
          <w:szCs w:val="24"/>
        </w:rPr>
        <w:t>/</w:t>
      </w:r>
      <w:r w:rsidRPr="0003778D">
        <w:rPr>
          <w:rFonts w:ascii="Arial" w:hAnsi="Arial" w:cs="Arial"/>
          <w:color w:val="000000" w:themeColor="text1"/>
          <w:sz w:val="24"/>
          <w:szCs w:val="24"/>
        </w:rPr>
        <w:t xml:space="preserve">neu) slides were retrieved. Blocks were collected when slides were not available, </w:t>
      </w:r>
      <w:r w:rsidR="00A91352">
        <w:rPr>
          <w:rFonts w:ascii="Arial" w:hAnsi="Arial" w:cs="Arial"/>
          <w:color w:val="000000" w:themeColor="text1"/>
          <w:sz w:val="24"/>
          <w:szCs w:val="24"/>
        </w:rPr>
        <w:t xml:space="preserve">subsequently </w:t>
      </w:r>
      <w:r w:rsidRPr="0003778D">
        <w:rPr>
          <w:rFonts w:ascii="Arial" w:hAnsi="Arial" w:cs="Arial"/>
          <w:color w:val="000000" w:themeColor="text1"/>
          <w:sz w:val="24"/>
          <w:szCs w:val="24"/>
        </w:rPr>
        <w:t>sections</w:t>
      </w:r>
      <w:r w:rsidR="00A91352">
        <w:rPr>
          <w:rFonts w:ascii="Arial" w:hAnsi="Arial" w:cs="Arial"/>
          <w:color w:val="000000" w:themeColor="text1"/>
          <w:sz w:val="24"/>
          <w:szCs w:val="24"/>
        </w:rPr>
        <w:t xml:space="preserve"> were </w:t>
      </w:r>
      <w:r w:rsidRPr="0003778D">
        <w:rPr>
          <w:rFonts w:ascii="Arial" w:hAnsi="Arial" w:cs="Arial"/>
          <w:color w:val="000000" w:themeColor="text1"/>
          <w:sz w:val="24"/>
          <w:szCs w:val="24"/>
        </w:rPr>
        <w:t xml:space="preserve"> made and histopathology slides evaluated. Primary histologic feature defining both typical and atypical MBC, is presence of more than  75% syncytial tumour growth pattern and lymphoplasmacytic infiltrate in varying proportions.                                                                                                                 </w:t>
      </w:r>
    </w:p>
    <w:p w:rsidR="00A46289" w:rsidRPr="0003778D" w:rsidRDefault="00A46289" w:rsidP="00A46289">
      <w:pPr>
        <w:spacing w:line="240" w:lineRule="auto"/>
        <w:jc w:val="both"/>
        <w:rPr>
          <w:rFonts w:ascii="Arial" w:hAnsi="Arial" w:cs="Arial"/>
          <w:color w:val="000000" w:themeColor="text1"/>
          <w:sz w:val="24"/>
          <w:szCs w:val="24"/>
          <w:vertAlign w:val="superscript"/>
        </w:rPr>
      </w:pPr>
      <w:r w:rsidRPr="0003778D">
        <w:rPr>
          <w:rFonts w:ascii="Arial" w:hAnsi="Arial" w:cs="Arial"/>
          <w:color w:val="000000" w:themeColor="text1"/>
          <w:sz w:val="24"/>
          <w:szCs w:val="24"/>
        </w:rPr>
        <w:t xml:space="preserve">Histological features characterising typical medullary carcinoma is  the  constellation of  five histolological features such as  </w:t>
      </w:r>
      <w:r w:rsidR="00D05641">
        <w:rPr>
          <w:rFonts w:ascii="Arial" w:hAnsi="Arial" w:cs="Arial"/>
          <w:color w:val="000000" w:themeColor="text1"/>
          <w:sz w:val="24"/>
          <w:szCs w:val="24"/>
        </w:rPr>
        <w:t xml:space="preserve">more than </w:t>
      </w:r>
      <w:r w:rsidRPr="0003778D">
        <w:rPr>
          <w:rFonts w:ascii="Arial" w:hAnsi="Arial" w:cs="Arial"/>
          <w:color w:val="000000" w:themeColor="text1"/>
          <w:sz w:val="24"/>
          <w:szCs w:val="24"/>
        </w:rPr>
        <w:t xml:space="preserve">75% syncytial growth pattern, complete </w:t>
      </w:r>
      <w:r w:rsidR="00173AC5">
        <w:rPr>
          <w:rFonts w:ascii="Arial" w:hAnsi="Arial" w:cs="Arial"/>
          <w:color w:val="000000" w:themeColor="text1"/>
          <w:sz w:val="24"/>
          <w:szCs w:val="24"/>
        </w:rPr>
        <w:t xml:space="preserve">lesional </w:t>
      </w:r>
      <w:r w:rsidRPr="0003778D">
        <w:rPr>
          <w:rFonts w:ascii="Arial" w:hAnsi="Arial" w:cs="Arial"/>
          <w:color w:val="000000" w:themeColor="text1"/>
          <w:sz w:val="24"/>
          <w:szCs w:val="24"/>
        </w:rPr>
        <w:t>circumscription, moderate to marked  diffuse lymphoplasmacytic infiltrate, moderate to severe nuclear pleomorphism and lack of intraductal component and tubular differentiation.</w:t>
      </w:r>
      <w:r w:rsidRPr="0003778D">
        <w:rPr>
          <w:rFonts w:ascii="Arial" w:hAnsi="Arial" w:cs="Arial"/>
          <w:color w:val="000000" w:themeColor="text1"/>
          <w:sz w:val="24"/>
          <w:szCs w:val="24"/>
          <w:vertAlign w:val="superscript"/>
        </w:rPr>
        <w:t>4</w:t>
      </w:r>
    </w:p>
    <w:p w:rsidR="00A46289" w:rsidRPr="0003778D" w:rsidRDefault="00A46289" w:rsidP="00A46289">
      <w:pPr>
        <w:spacing w:line="240" w:lineRule="auto"/>
        <w:jc w:val="both"/>
        <w:rPr>
          <w:rFonts w:ascii="Arial" w:hAnsi="Arial" w:cs="Arial"/>
          <w:color w:val="000000" w:themeColor="text1"/>
          <w:sz w:val="24"/>
          <w:szCs w:val="24"/>
          <w:vertAlign w:val="superscript"/>
        </w:rPr>
      </w:pPr>
      <w:r w:rsidRPr="0003778D">
        <w:rPr>
          <w:rFonts w:ascii="Arial" w:hAnsi="Arial" w:cs="Arial"/>
          <w:color w:val="000000" w:themeColor="text1"/>
          <w:sz w:val="24"/>
          <w:szCs w:val="24"/>
        </w:rPr>
        <w:t>Atypical medullary carcinoma is defined  histologically by not more than two of the  following four  atypical features such as  margins with focal or prominent infiltrative pattern,  mononuclear infiltrate mild or at  the tumor margins only, benign appearing nuclei and presence of microglandular features.</w:t>
      </w:r>
      <w:r w:rsidRPr="0003778D">
        <w:rPr>
          <w:rFonts w:ascii="Arial" w:hAnsi="Arial" w:cs="Arial"/>
          <w:color w:val="000000" w:themeColor="text1"/>
          <w:sz w:val="24"/>
          <w:szCs w:val="24"/>
          <w:vertAlign w:val="superscript"/>
        </w:rPr>
        <w:t>4</w:t>
      </w:r>
    </w:p>
    <w:p w:rsidR="00A46289"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lastRenderedPageBreak/>
        <w:t>Immunohistochemical stained slides of ER, PR, Her2</w:t>
      </w:r>
      <w:r w:rsidR="00337393">
        <w:rPr>
          <w:rFonts w:ascii="Arial" w:hAnsi="Arial" w:cs="Arial"/>
          <w:color w:val="000000" w:themeColor="text1"/>
          <w:sz w:val="24"/>
          <w:szCs w:val="24"/>
        </w:rPr>
        <w:t>/</w:t>
      </w:r>
      <w:r w:rsidRPr="0003778D">
        <w:rPr>
          <w:rFonts w:ascii="Arial" w:hAnsi="Arial" w:cs="Arial"/>
          <w:color w:val="000000" w:themeColor="text1"/>
          <w:sz w:val="24"/>
          <w:szCs w:val="24"/>
        </w:rPr>
        <w:t>neu were reviewed and analysed. Interpretation of ER, PR was done depending on the extent and intensity of nuclear staining as per Allred score. Interpretation of Her2</w:t>
      </w:r>
      <w:r w:rsidR="00337393">
        <w:rPr>
          <w:rFonts w:ascii="Arial" w:hAnsi="Arial" w:cs="Arial"/>
          <w:color w:val="000000" w:themeColor="text1"/>
          <w:sz w:val="24"/>
          <w:szCs w:val="24"/>
        </w:rPr>
        <w:t>/</w:t>
      </w:r>
      <w:r w:rsidRPr="0003778D">
        <w:rPr>
          <w:rFonts w:ascii="Arial" w:hAnsi="Arial" w:cs="Arial"/>
          <w:color w:val="000000" w:themeColor="text1"/>
          <w:sz w:val="24"/>
          <w:szCs w:val="24"/>
        </w:rPr>
        <w:t>neu was done based on intensity of membrane staining pattern.</w:t>
      </w:r>
    </w:p>
    <w:p w:rsidR="00E002DA" w:rsidRPr="0003778D" w:rsidRDefault="00E002DA" w:rsidP="00A46289">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Data was analysed and evaluated using descriptive statistics such as median, range and  and standard deviation.</w:t>
      </w:r>
    </w:p>
    <w:p w:rsidR="0044200D" w:rsidRDefault="0044200D" w:rsidP="00F71880">
      <w:pPr>
        <w:rPr>
          <w:rFonts w:ascii="Times New Roman" w:hAnsi="Times New Roman"/>
          <w:b/>
          <w:sz w:val="28"/>
          <w:szCs w:val="28"/>
        </w:rPr>
      </w:pPr>
      <w:commentRangeStart w:id="5"/>
      <w:r w:rsidRPr="00B00480">
        <w:rPr>
          <w:rFonts w:ascii="Times New Roman" w:hAnsi="Times New Roman"/>
          <w:b/>
          <w:sz w:val="28"/>
          <w:szCs w:val="28"/>
        </w:rPr>
        <w:t>RESULT</w:t>
      </w:r>
      <w:commentRangeEnd w:id="5"/>
      <w:r w:rsidR="000D319D" w:rsidRPr="00B00480">
        <w:rPr>
          <w:rStyle w:val="CommentReference"/>
          <w:sz w:val="28"/>
          <w:szCs w:val="28"/>
        </w:rPr>
        <w:commentReference w:id="5"/>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During the study period  a total of 388 cases of invasive breast carcinoma were diagnosed out of which MBC cases were 12 , constituting about 3.1% of cases. Age range was 35-64 yrs, with a mean of 49.08 years. Age distribution of the cases shown in </w:t>
      </w:r>
      <w:r w:rsidRPr="0003778D">
        <w:rPr>
          <w:rFonts w:ascii="Arial" w:hAnsi="Arial" w:cs="Arial"/>
          <w:b/>
          <w:color w:val="000000" w:themeColor="text1"/>
          <w:sz w:val="24"/>
          <w:szCs w:val="24"/>
        </w:rPr>
        <w:t>table 1</w:t>
      </w:r>
      <w:r w:rsidRPr="0003778D">
        <w:rPr>
          <w:rFonts w:ascii="Arial" w:hAnsi="Arial" w:cs="Arial"/>
          <w:color w:val="000000" w:themeColor="text1"/>
          <w:sz w:val="24"/>
          <w:szCs w:val="24"/>
        </w:rPr>
        <w:t>. All cases clinically presented as solitary lump in breast. There was no side predilection however the most common quadrant affected was upper inner quadrant consitituing around 50% (6 out of 12) of cases. Modified radical mastectomy (MRM) was performed in all cases since FNA was reported as carcinoma breast.</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Clinical features of typical and atypical medullary carcinomas are summarised in </w:t>
      </w:r>
      <w:r w:rsidRPr="0003778D">
        <w:rPr>
          <w:rFonts w:ascii="Arial" w:hAnsi="Arial" w:cs="Arial"/>
          <w:b/>
          <w:color w:val="000000" w:themeColor="text1"/>
          <w:sz w:val="24"/>
          <w:szCs w:val="24"/>
        </w:rPr>
        <w:t xml:space="preserve">table 2 </w:t>
      </w:r>
      <w:r w:rsidRPr="0003778D">
        <w:rPr>
          <w:rFonts w:ascii="Arial" w:hAnsi="Arial" w:cs="Arial"/>
          <w:color w:val="000000" w:themeColor="text1"/>
          <w:sz w:val="24"/>
          <w:szCs w:val="24"/>
        </w:rPr>
        <w:t>. Over all tumour size ranged from 2.5 to 6 cms  with mean of 3.70 cms. Average size in typical MBC is 3.6 cms (range 2.5 to 6 cms ) and  atypical MBC  is 4.25 cms (range 3.5-5.0 cms). One of the twelve cases clinically presented with involvement of nipple areola region.</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Grossly majority of the tumors were soft to firm in consistency. Fine needle aspiration cytology shows large,</w:t>
      </w:r>
      <w:r w:rsidR="00F17DCD">
        <w:rPr>
          <w:rFonts w:ascii="Arial" w:hAnsi="Arial" w:cs="Arial"/>
          <w:color w:val="000000" w:themeColor="text1"/>
          <w:sz w:val="24"/>
          <w:szCs w:val="24"/>
        </w:rPr>
        <w:t xml:space="preserve"> pleomorphic, singly scattered and </w:t>
      </w:r>
      <w:r w:rsidRPr="0003778D">
        <w:rPr>
          <w:rFonts w:ascii="Arial" w:hAnsi="Arial" w:cs="Arial"/>
          <w:color w:val="000000" w:themeColor="text1"/>
          <w:sz w:val="24"/>
          <w:szCs w:val="24"/>
        </w:rPr>
        <w:t xml:space="preserve">disintegrated tumor cells with dense lymphoplasmacytic infiltrate in the background. </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Histologically 10 out of 12 cases (83.3%) were diagnosed as typical MBC and 2 cases were atypical  MBC (16.7%). Histological features of typical and atypical MBCs are summarised in</w:t>
      </w:r>
      <w:r w:rsidRPr="0003778D">
        <w:rPr>
          <w:rFonts w:ascii="Arial" w:hAnsi="Arial" w:cs="Arial"/>
          <w:b/>
          <w:color w:val="000000" w:themeColor="text1"/>
          <w:sz w:val="24"/>
          <w:szCs w:val="24"/>
        </w:rPr>
        <w:t xml:space="preserve"> table </w:t>
      </w:r>
      <w:r w:rsidR="00001304">
        <w:rPr>
          <w:rFonts w:ascii="Arial" w:hAnsi="Arial" w:cs="Arial"/>
          <w:b/>
          <w:color w:val="000000" w:themeColor="text1"/>
          <w:sz w:val="24"/>
          <w:szCs w:val="24"/>
        </w:rPr>
        <w:t xml:space="preserve">3 and 4 </w:t>
      </w:r>
      <w:r w:rsidRPr="0003778D">
        <w:rPr>
          <w:rFonts w:ascii="Arial" w:hAnsi="Arial" w:cs="Arial"/>
          <w:color w:val="000000" w:themeColor="text1"/>
          <w:sz w:val="24"/>
          <w:szCs w:val="24"/>
        </w:rPr>
        <w:t xml:space="preserve">. In our study, 40% of typical and 50% of atypical MBC showed metastatic deposits in the axillary lymph nodes. </w:t>
      </w:r>
    </w:p>
    <w:p w:rsidR="00A46289" w:rsidRDefault="00A46289" w:rsidP="00F71880">
      <w:pPr>
        <w:rPr>
          <w:rFonts w:ascii="Times New Roman" w:hAnsi="Times New Roman"/>
          <w:sz w:val="28"/>
          <w:szCs w:val="28"/>
          <w:u w:val="single"/>
        </w:rPr>
      </w:pPr>
      <w:r w:rsidRPr="0003778D">
        <w:rPr>
          <w:rFonts w:ascii="Arial" w:hAnsi="Arial" w:cs="Arial"/>
          <w:color w:val="000000" w:themeColor="text1"/>
          <w:sz w:val="24"/>
          <w:szCs w:val="24"/>
        </w:rPr>
        <w:t>IHC showed triple negativity in 75% cases of MBC comprising of 80 %  in typical and 50%  in atypical MBC</w:t>
      </w:r>
    </w:p>
    <w:p w:rsidR="00A46289" w:rsidRDefault="00F71880" w:rsidP="00F71880">
      <w:pPr>
        <w:rPr>
          <w:rFonts w:ascii="Times New Roman" w:hAnsi="Times New Roman"/>
          <w:b/>
          <w:sz w:val="28"/>
          <w:szCs w:val="28"/>
        </w:rPr>
      </w:pPr>
      <w:commentRangeStart w:id="6"/>
      <w:r w:rsidRPr="00B00480">
        <w:rPr>
          <w:rFonts w:ascii="Times New Roman" w:hAnsi="Times New Roman"/>
          <w:b/>
          <w:sz w:val="28"/>
          <w:szCs w:val="28"/>
        </w:rPr>
        <w:t>DISCUSSION</w:t>
      </w:r>
      <w:commentRangeEnd w:id="6"/>
      <w:r w:rsidR="0061773C" w:rsidRPr="00B00480">
        <w:rPr>
          <w:rStyle w:val="CommentReference"/>
          <w:sz w:val="28"/>
          <w:szCs w:val="28"/>
        </w:rPr>
        <w:commentReference w:id="6"/>
      </w:r>
      <w:r w:rsidR="0061773C" w:rsidRPr="00B00480">
        <w:rPr>
          <w:rFonts w:ascii="Times New Roman" w:hAnsi="Times New Roman"/>
          <w:b/>
          <w:sz w:val="28"/>
          <w:szCs w:val="28"/>
        </w:rPr>
        <w:t>:</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MBC was first described by Moore and Foote in 1949.</w:t>
      </w:r>
      <w:r w:rsidRPr="0003778D">
        <w:rPr>
          <w:rFonts w:ascii="Arial" w:hAnsi="Arial" w:cs="Arial"/>
          <w:color w:val="000000" w:themeColor="text1"/>
          <w:sz w:val="24"/>
          <w:szCs w:val="24"/>
          <w:vertAlign w:val="superscript"/>
        </w:rPr>
        <w:t>7</w:t>
      </w:r>
      <w:r w:rsidRPr="0003778D">
        <w:rPr>
          <w:rFonts w:ascii="Arial" w:hAnsi="Arial" w:cs="Arial"/>
          <w:color w:val="000000" w:themeColor="text1"/>
          <w:sz w:val="24"/>
          <w:szCs w:val="24"/>
        </w:rPr>
        <w:t xml:space="preserve"> These   are well circumscribed</w:t>
      </w:r>
      <w:r w:rsidR="00EB2E0C">
        <w:rPr>
          <w:rFonts w:ascii="Arial" w:hAnsi="Arial" w:cs="Arial"/>
          <w:color w:val="000000" w:themeColor="text1"/>
          <w:sz w:val="24"/>
          <w:szCs w:val="24"/>
        </w:rPr>
        <w:t xml:space="preserve"> lesions </w:t>
      </w:r>
      <w:r w:rsidRPr="0003778D">
        <w:rPr>
          <w:rFonts w:ascii="Arial" w:hAnsi="Arial" w:cs="Arial"/>
          <w:color w:val="000000" w:themeColor="text1"/>
          <w:sz w:val="24"/>
          <w:szCs w:val="24"/>
        </w:rPr>
        <w:t>,</w:t>
      </w:r>
      <w:r w:rsidR="00EB2E0C">
        <w:rPr>
          <w:rFonts w:ascii="Arial" w:hAnsi="Arial" w:cs="Arial"/>
          <w:color w:val="000000" w:themeColor="text1"/>
          <w:sz w:val="24"/>
          <w:szCs w:val="24"/>
        </w:rPr>
        <w:t>often soft, fleshy</w:t>
      </w:r>
      <w:r w:rsidR="001611F9">
        <w:rPr>
          <w:rFonts w:ascii="Arial" w:hAnsi="Arial" w:cs="Arial"/>
          <w:color w:val="000000" w:themeColor="text1"/>
          <w:sz w:val="24"/>
          <w:szCs w:val="24"/>
        </w:rPr>
        <w:t xml:space="preserve"> </w:t>
      </w:r>
      <w:r w:rsidR="00EB2E0C">
        <w:rPr>
          <w:rFonts w:ascii="Arial" w:hAnsi="Arial" w:cs="Arial"/>
          <w:color w:val="000000" w:themeColor="text1"/>
          <w:sz w:val="24"/>
          <w:szCs w:val="24"/>
        </w:rPr>
        <w:t xml:space="preserve">and </w:t>
      </w:r>
      <w:r w:rsidRPr="0003778D">
        <w:rPr>
          <w:rFonts w:ascii="Arial" w:hAnsi="Arial" w:cs="Arial"/>
          <w:color w:val="000000" w:themeColor="text1"/>
          <w:sz w:val="24"/>
          <w:szCs w:val="24"/>
        </w:rPr>
        <w:t xml:space="preserve"> tend to bulge above the surrounding parenchyma, hence the term encephaloid.</w:t>
      </w:r>
      <w:r w:rsidRPr="0003778D">
        <w:rPr>
          <w:rFonts w:ascii="Arial" w:hAnsi="Arial" w:cs="Arial"/>
          <w:color w:val="000000" w:themeColor="text1"/>
          <w:sz w:val="24"/>
          <w:szCs w:val="24"/>
          <w:vertAlign w:val="superscript"/>
        </w:rPr>
        <w:t>8</w:t>
      </w:r>
      <w:r w:rsidRPr="0003778D">
        <w:rPr>
          <w:rFonts w:ascii="Arial" w:hAnsi="Arial" w:cs="Arial"/>
          <w:color w:val="000000" w:themeColor="text1"/>
          <w:sz w:val="24"/>
          <w:szCs w:val="24"/>
        </w:rPr>
        <w:t xml:space="preserve">  Medullary carcinoma is an uncommon tumor accounting for </w:t>
      </w:r>
      <w:r w:rsidR="00833F2E">
        <w:rPr>
          <w:rFonts w:ascii="Arial" w:hAnsi="Arial" w:cs="Arial"/>
          <w:color w:val="000000" w:themeColor="text1"/>
          <w:sz w:val="24"/>
          <w:szCs w:val="24"/>
        </w:rPr>
        <w:t xml:space="preserve">less than </w:t>
      </w:r>
      <w:r w:rsidRPr="0003778D">
        <w:rPr>
          <w:rFonts w:ascii="Arial" w:hAnsi="Arial" w:cs="Arial"/>
          <w:color w:val="000000" w:themeColor="text1"/>
          <w:sz w:val="24"/>
          <w:szCs w:val="24"/>
        </w:rPr>
        <w:t>5% of  all invasive breast carcinomas. Preval</w:t>
      </w:r>
      <w:r w:rsidR="00833F2E">
        <w:rPr>
          <w:rFonts w:ascii="Arial" w:hAnsi="Arial" w:cs="Arial"/>
          <w:color w:val="000000" w:themeColor="text1"/>
          <w:sz w:val="24"/>
          <w:szCs w:val="24"/>
        </w:rPr>
        <w:t>e</w:t>
      </w:r>
      <w:r w:rsidRPr="0003778D">
        <w:rPr>
          <w:rFonts w:ascii="Arial" w:hAnsi="Arial" w:cs="Arial"/>
          <w:color w:val="000000" w:themeColor="text1"/>
          <w:sz w:val="24"/>
          <w:szCs w:val="24"/>
        </w:rPr>
        <w:t>nce of MBC in our study is 3.1% w</w:t>
      </w:r>
      <w:r w:rsidR="00D50FE7">
        <w:rPr>
          <w:rFonts w:ascii="Arial" w:hAnsi="Arial" w:cs="Arial"/>
          <w:color w:val="000000" w:themeColor="text1"/>
          <w:sz w:val="24"/>
          <w:szCs w:val="24"/>
        </w:rPr>
        <w:t xml:space="preserve">hich is in concordance with </w:t>
      </w:r>
      <w:r w:rsidRPr="0003778D">
        <w:rPr>
          <w:rFonts w:ascii="Arial" w:hAnsi="Arial" w:cs="Arial"/>
          <w:color w:val="000000" w:themeColor="text1"/>
          <w:sz w:val="24"/>
          <w:szCs w:val="24"/>
        </w:rPr>
        <w:t xml:space="preserve"> various studies</w:t>
      </w:r>
      <w:r w:rsidR="00D50FE7">
        <w:rPr>
          <w:rFonts w:ascii="Arial" w:hAnsi="Arial" w:cs="Arial"/>
          <w:color w:val="000000" w:themeColor="text1"/>
          <w:sz w:val="24"/>
          <w:szCs w:val="24"/>
        </w:rPr>
        <w:t xml:space="preserve"> available in literature </w:t>
      </w:r>
      <w:r w:rsidRPr="0003778D">
        <w:rPr>
          <w:rFonts w:ascii="Arial" w:hAnsi="Arial" w:cs="Arial"/>
          <w:color w:val="000000" w:themeColor="text1"/>
          <w:sz w:val="24"/>
          <w:szCs w:val="24"/>
        </w:rPr>
        <w:t>.</w:t>
      </w:r>
      <w:r w:rsidRPr="0003778D">
        <w:rPr>
          <w:rFonts w:ascii="Arial" w:hAnsi="Arial" w:cs="Arial"/>
          <w:color w:val="000000" w:themeColor="text1"/>
          <w:sz w:val="24"/>
          <w:szCs w:val="24"/>
          <w:vertAlign w:val="superscript"/>
        </w:rPr>
        <w:t xml:space="preserve">1,2 </w:t>
      </w:r>
      <w:r w:rsidRPr="0003778D">
        <w:rPr>
          <w:rFonts w:ascii="Arial" w:hAnsi="Arial" w:cs="Arial"/>
          <w:color w:val="000000" w:themeColor="text1"/>
          <w:sz w:val="24"/>
          <w:szCs w:val="24"/>
        </w:rPr>
        <w:t>Radiologically and clinically MBC mimics fibroadenoma due to its smaller size. Median size of the tumor range</w:t>
      </w:r>
      <w:r w:rsidR="0094741C">
        <w:rPr>
          <w:rFonts w:ascii="Arial" w:hAnsi="Arial" w:cs="Arial"/>
          <w:color w:val="000000" w:themeColor="text1"/>
          <w:sz w:val="24"/>
          <w:szCs w:val="24"/>
        </w:rPr>
        <w:t>d</w:t>
      </w:r>
      <w:r w:rsidRPr="0003778D">
        <w:rPr>
          <w:rFonts w:ascii="Arial" w:hAnsi="Arial" w:cs="Arial"/>
          <w:color w:val="000000" w:themeColor="text1"/>
          <w:sz w:val="24"/>
          <w:szCs w:val="24"/>
        </w:rPr>
        <w:t xml:space="preserve"> from 2-3 cms.</w:t>
      </w:r>
      <w:r w:rsidRPr="0003778D">
        <w:rPr>
          <w:rFonts w:ascii="Arial" w:hAnsi="Arial" w:cs="Arial"/>
          <w:color w:val="000000" w:themeColor="text1"/>
          <w:sz w:val="24"/>
          <w:szCs w:val="24"/>
          <w:vertAlign w:val="superscript"/>
        </w:rPr>
        <w:t>3</w:t>
      </w:r>
      <w:r w:rsidRPr="0003778D">
        <w:rPr>
          <w:rFonts w:ascii="Arial" w:hAnsi="Arial" w:cs="Arial"/>
          <w:color w:val="000000" w:themeColor="text1"/>
          <w:sz w:val="24"/>
          <w:szCs w:val="24"/>
        </w:rPr>
        <w:t xml:space="preserve"> Clinically </w:t>
      </w:r>
      <w:r w:rsidR="0094741C">
        <w:rPr>
          <w:rFonts w:ascii="Arial" w:hAnsi="Arial" w:cs="Arial"/>
          <w:color w:val="000000" w:themeColor="text1"/>
          <w:sz w:val="24"/>
          <w:szCs w:val="24"/>
        </w:rPr>
        <w:t xml:space="preserve">they </w:t>
      </w:r>
      <w:r w:rsidRPr="0003778D">
        <w:rPr>
          <w:rFonts w:ascii="Arial" w:hAnsi="Arial" w:cs="Arial"/>
          <w:color w:val="000000" w:themeColor="text1"/>
          <w:sz w:val="24"/>
          <w:szCs w:val="24"/>
        </w:rPr>
        <w:t xml:space="preserve"> present as  circumscribed tumor with tendency for cystic degeneration and ulceration of the skin in few. In present study 1 out of 12 cases showed ulceration of the skin involving the nipple areola region. According to the study conducted by Ridolfi et al</w:t>
      </w:r>
      <w:r w:rsidRPr="0003778D">
        <w:rPr>
          <w:rFonts w:ascii="Arial" w:hAnsi="Arial" w:cs="Arial"/>
          <w:color w:val="000000" w:themeColor="text1"/>
          <w:sz w:val="24"/>
          <w:szCs w:val="24"/>
          <w:vertAlign w:val="superscript"/>
        </w:rPr>
        <w:t>9</w:t>
      </w:r>
      <w:r w:rsidRPr="0003778D">
        <w:rPr>
          <w:rFonts w:ascii="Arial" w:hAnsi="Arial" w:cs="Arial"/>
          <w:color w:val="000000" w:themeColor="text1"/>
          <w:sz w:val="24"/>
          <w:szCs w:val="24"/>
        </w:rPr>
        <w:t xml:space="preserve"> ,age of presentation ranged from 47-52 years. Our study is  concordant with the</w:t>
      </w:r>
      <w:r w:rsidR="009B5DB9">
        <w:rPr>
          <w:rFonts w:ascii="Arial" w:hAnsi="Arial" w:cs="Arial"/>
          <w:color w:val="000000" w:themeColor="text1"/>
          <w:sz w:val="24"/>
          <w:szCs w:val="24"/>
        </w:rPr>
        <w:t xml:space="preserve"> study done by Ridolfi et al</w:t>
      </w:r>
      <w:r w:rsidRPr="0003778D">
        <w:rPr>
          <w:rFonts w:ascii="Arial" w:hAnsi="Arial" w:cs="Arial"/>
          <w:color w:val="000000" w:themeColor="text1"/>
          <w:sz w:val="24"/>
          <w:szCs w:val="24"/>
        </w:rPr>
        <w:t xml:space="preserve"> and showed a mean age of 49.08 years. 60 % of typical MBC </w:t>
      </w:r>
      <w:r w:rsidRPr="0003778D">
        <w:rPr>
          <w:rFonts w:ascii="Arial" w:hAnsi="Arial" w:cs="Arial"/>
          <w:color w:val="000000" w:themeColor="text1"/>
          <w:sz w:val="24"/>
          <w:szCs w:val="24"/>
        </w:rPr>
        <w:lastRenderedPageBreak/>
        <w:t>occurred in age group of 40-49 years, while 50 % of atypical MBC occurred in age group of 50-59 and 60-69 years (Table 1)</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Grossly, </w:t>
      </w:r>
      <w:r w:rsidR="00B31B54">
        <w:rPr>
          <w:rFonts w:ascii="Arial" w:hAnsi="Arial" w:cs="Arial"/>
          <w:color w:val="000000" w:themeColor="text1"/>
          <w:sz w:val="24"/>
          <w:szCs w:val="24"/>
        </w:rPr>
        <w:t xml:space="preserve">medullary carcinomas are </w:t>
      </w:r>
      <w:r w:rsidRPr="0003778D">
        <w:rPr>
          <w:rFonts w:ascii="Arial" w:hAnsi="Arial" w:cs="Arial"/>
          <w:color w:val="000000" w:themeColor="text1"/>
          <w:sz w:val="24"/>
          <w:szCs w:val="24"/>
        </w:rPr>
        <w:t xml:space="preserve"> circumscribed, nodular, fleshy with grey pink</w:t>
      </w:r>
      <w:r w:rsidR="00AF66AC">
        <w:rPr>
          <w:rFonts w:ascii="Arial" w:hAnsi="Arial" w:cs="Arial"/>
          <w:color w:val="000000" w:themeColor="text1"/>
          <w:sz w:val="24"/>
          <w:szCs w:val="24"/>
        </w:rPr>
        <w:t xml:space="preserve"> appearance on cut surface(Fig 1</w:t>
      </w:r>
      <w:r w:rsidR="00CB29F8">
        <w:rPr>
          <w:rFonts w:ascii="Arial" w:hAnsi="Arial" w:cs="Arial"/>
          <w:color w:val="000000" w:themeColor="text1"/>
          <w:sz w:val="24"/>
          <w:szCs w:val="24"/>
        </w:rPr>
        <w:t>A</w:t>
      </w:r>
      <w:r w:rsidRPr="0003778D">
        <w:rPr>
          <w:rFonts w:ascii="Arial" w:hAnsi="Arial" w:cs="Arial"/>
          <w:color w:val="000000" w:themeColor="text1"/>
          <w:sz w:val="24"/>
          <w:szCs w:val="24"/>
        </w:rPr>
        <w:t xml:space="preserve">). Cystic degeneration, hemorrhage and necrosis </w:t>
      </w:r>
      <w:r w:rsidR="00AF66AC">
        <w:rPr>
          <w:rFonts w:ascii="Arial" w:hAnsi="Arial" w:cs="Arial"/>
          <w:color w:val="000000" w:themeColor="text1"/>
          <w:sz w:val="24"/>
          <w:szCs w:val="24"/>
        </w:rPr>
        <w:t>are</w:t>
      </w:r>
      <w:r w:rsidR="00D245A2">
        <w:rPr>
          <w:rFonts w:ascii="Arial" w:hAnsi="Arial" w:cs="Arial"/>
          <w:color w:val="000000" w:themeColor="text1"/>
          <w:sz w:val="24"/>
          <w:szCs w:val="24"/>
        </w:rPr>
        <w:t xml:space="preserve"> seen</w:t>
      </w:r>
      <w:r w:rsidRPr="0003778D">
        <w:rPr>
          <w:rFonts w:ascii="Arial" w:hAnsi="Arial" w:cs="Arial"/>
          <w:color w:val="000000" w:themeColor="text1"/>
          <w:sz w:val="24"/>
          <w:szCs w:val="24"/>
        </w:rPr>
        <w:t>. Histologically, MBC is characterised by</w:t>
      </w:r>
      <w:r w:rsidR="00CB29F8">
        <w:rPr>
          <w:rFonts w:ascii="Arial" w:hAnsi="Arial" w:cs="Arial"/>
          <w:color w:val="000000" w:themeColor="text1"/>
          <w:sz w:val="24"/>
          <w:szCs w:val="24"/>
        </w:rPr>
        <w:t xml:space="preserve"> syncytial growth pattern (Fig 1B</w:t>
      </w:r>
      <w:r w:rsidRPr="0003778D">
        <w:rPr>
          <w:rFonts w:ascii="Arial" w:hAnsi="Arial" w:cs="Arial"/>
          <w:color w:val="000000" w:themeColor="text1"/>
          <w:sz w:val="24"/>
          <w:szCs w:val="24"/>
        </w:rPr>
        <w:t xml:space="preserve">), complete circumscription (Fig </w:t>
      </w:r>
      <w:r w:rsidR="00CB29F8">
        <w:rPr>
          <w:rFonts w:ascii="Arial" w:hAnsi="Arial" w:cs="Arial"/>
          <w:color w:val="000000" w:themeColor="text1"/>
          <w:sz w:val="24"/>
          <w:szCs w:val="24"/>
        </w:rPr>
        <w:t>1</w:t>
      </w:r>
      <w:r w:rsidRPr="0003778D">
        <w:rPr>
          <w:rFonts w:ascii="Arial" w:hAnsi="Arial" w:cs="Arial"/>
          <w:color w:val="000000" w:themeColor="text1"/>
          <w:sz w:val="24"/>
          <w:szCs w:val="24"/>
        </w:rPr>
        <w:t xml:space="preserve">C), moderate to marked  diffuse lymphoplasmacytic infiltrate(Fig </w:t>
      </w:r>
      <w:r w:rsidR="00CB29F8">
        <w:rPr>
          <w:rFonts w:ascii="Arial" w:hAnsi="Arial" w:cs="Arial"/>
          <w:color w:val="000000" w:themeColor="text1"/>
          <w:sz w:val="24"/>
          <w:szCs w:val="24"/>
        </w:rPr>
        <w:t>1</w:t>
      </w:r>
      <w:r w:rsidRPr="0003778D">
        <w:rPr>
          <w:rFonts w:ascii="Arial" w:hAnsi="Arial" w:cs="Arial"/>
          <w:color w:val="000000" w:themeColor="text1"/>
          <w:sz w:val="24"/>
          <w:szCs w:val="24"/>
        </w:rPr>
        <w:t xml:space="preserve">C), moderate to severe  nuclear pleomorphism (Fig </w:t>
      </w:r>
      <w:r w:rsidR="00CB29F8">
        <w:rPr>
          <w:rFonts w:ascii="Arial" w:hAnsi="Arial" w:cs="Arial"/>
          <w:color w:val="000000" w:themeColor="text1"/>
          <w:sz w:val="24"/>
          <w:szCs w:val="24"/>
        </w:rPr>
        <w:t>1</w:t>
      </w:r>
      <w:r w:rsidRPr="0003778D">
        <w:rPr>
          <w:rFonts w:ascii="Arial" w:hAnsi="Arial" w:cs="Arial"/>
          <w:color w:val="000000" w:themeColor="text1"/>
          <w:sz w:val="24"/>
          <w:szCs w:val="24"/>
        </w:rPr>
        <w:t>D ) and absence of glandular pattern. Presence of microglandular pattern , infiltrative margins,  mild mononuclear infiltrate  and  benign appearing nuclei characterises atypical MBC</w:t>
      </w:r>
      <w:r w:rsidRPr="0003778D">
        <w:rPr>
          <w:rFonts w:ascii="Arial" w:hAnsi="Arial" w:cs="Arial"/>
          <w:color w:val="000000" w:themeColor="text1"/>
          <w:sz w:val="24"/>
          <w:szCs w:val="24"/>
          <w:vertAlign w:val="superscript"/>
        </w:rPr>
        <w:t>4</w:t>
      </w:r>
      <w:r w:rsidRPr="0003778D">
        <w:rPr>
          <w:rFonts w:ascii="Arial" w:hAnsi="Arial" w:cs="Arial"/>
          <w:color w:val="000000" w:themeColor="text1"/>
          <w:sz w:val="24"/>
          <w:szCs w:val="24"/>
        </w:rPr>
        <w:t>. Atypical MBC is synonymously named by some authors as invasive carcinoma with  medullary  with features.</w:t>
      </w:r>
      <w:r w:rsidRPr="0003778D">
        <w:rPr>
          <w:rFonts w:ascii="Arial" w:hAnsi="Arial" w:cs="Arial"/>
          <w:color w:val="000000" w:themeColor="text1"/>
          <w:sz w:val="24"/>
          <w:szCs w:val="24"/>
          <w:vertAlign w:val="superscript"/>
        </w:rPr>
        <w:t>10</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Wargotz ES et al reported 5 yr survival rate of 95%, 80% and  70% in typical , atypical MBC and invasive breast carcinomas  respectively. In our study atypical MBC distinctly had IDC like areas with glandular formation of tumour cells and infiltrative tumour margins (F</w:t>
      </w:r>
      <w:r w:rsidR="007B11ED">
        <w:rPr>
          <w:rFonts w:ascii="Arial" w:hAnsi="Arial" w:cs="Arial"/>
          <w:color w:val="000000" w:themeColor="text1"/>
          <w:sz w:val="24"/>
          <w:szCs w:val="24"/>
        </w:rPr>
        <w:t>ig 2</w:t>
      </w:r>
      <w:r w:rsidRPr="0003778D">
        <w:rPr>
          <w:rFonts w:ascii="Arial" w:hAnsi="Arial" w:cs="Arial"/>
          <w:color w:val="000000" w:themeColor="text1"/>
          <w:sz w:val="24"/>
          <w:szCs w:val="24"/>
        </w:rPr>
        <w:t xml:space="preserve"> F </w:t>
      </w:r>
      <w:r w:rsidR="007B11ED">
        <w:rPr>
          <w:rFonts w:ascii="Arial" w:hAnsi="Arial" w:cs="Arial"/>
          <w:color w:val="000000" w:themeColor="text1"/>
          <w:sz w:val="24"/>
          <w:szCs w:val="24"/>
        </w:rPr>
        <w:t>,</w:t>
      </w:r>
      <w:r w:rsidRPr="0003778D">
        <w:rPr>
          <w:rFonts w:ascii="Arial" w:hAnsi="Arial" w:cs="Arial"/>
          <w:color w:val="000000" w:themeColor="text1"/>
          <w:sz w:val="24"/>
          <w:szCs w:val="24"/>
        </w:rPr>
        <w:t xml:space="preserve"> G). Atypical MBC were 16.7% similar to study conducted by Jagtap et al.</w:t>
      </w:r>
      <w:r w:rsidRPr="0003778D">
        <w:rPr>
          <w:rFonts w:ascii="Arial" w:hAnsi="Arial" w:cs="Arial"/>
          <w:color w:val="000000" w:themeColor="text1"/>
          <w:sz w:val="24"/>
          <w:szCs w:val="24"/>
          <w:vertAlign w:val="superscript"/>
        </w:rPr>
        <w:t>1</w:t>
      </w:r>
      <w:r w:rsidRPr="0003778D">
        <w:rPr>
          <w:rFonts w:ascii="Arial" w:hAnsi="Arial" w:cs="Arial"/>
          <w:color w:val="000000" w:themeColor="text1"/>
          <w:sz w:val="24"/>
          <w:szCs w:val="24"/>
        </w:rPr>
        <w:t xml:space="preserve"> Histopathological  categorisation of atypical MBC is  necessary since  adujuvant chemotherapy is given along with MRM , unlike in typical medullary carcinoma where MRM is the  mainstay of treatment</w:t>
      </w:r>
      <w:r w:rsidRPr="0003778D">
        <w:rPr>
          <w:rFonts w:ascii="Arial" w:hAnsi="Arial" w:cs="Arial"/>
          <w:color w:val="000000" w:themeColor="text1"/>
          <w:sz w:val="24"/>
          <w:szCs w:val="24"/>
          <w:vertAlign w:val="superscript"/>
        </w:rPr>
        <w:t>10</w:t>
      </w:r>
      <w:r w:rsidRPr="0003778D">
        <w:rPr>
          <w:rFonts w:ascii="Arial" w:hAnsi="Arial" w:cs="Arial"/>
          <w:color w:val="000000" w:themeColor="text1"/>
          <w:sz w:val="24"/>
          <w:szCs w:val="24"/>
        </w:rPr>
        <w:t>.The average number of lymph nodes found grossly in axillary dissection specimen from a patient with MBC is greater than for the other types of carcinoma. This difference is due to the greater ease of finding enlarged hyperplastic reactive lymph nodes in MBC</w:t>
      </w:r>
      <w:r w:rsidRPr="0003778D">
        <w:rPr>
          <w:rFonts w:ascii="Arial" w:hAnsi="Arial" w:cs="Arial"/>
          <w:color w:val="000000" w:themeColor="text1"/>
          <w:sz w:val="24"/>
          <w:szCs w:val="24"/>
          <w:vertAlign w:val="superscript"/>
        </w:rPr>
        <w:t xml:space="preserve"> </w:t>
      </w:r>
      <w:r w:rsidRPr="0003778D">
        <w:rPr>
          <w:rFonts w:ascii="Arial" w:hAnsi="Arial" w:cs="Arial"/>
          <w:color w:val="000000" w:themeColor="text1"/>
          <w:sz w:val="24"/>
          <w:szCs w:val="24"/>
        </w:rPr>
        <w:t>.</w:t>
      </w:r>
      <w:r w:rsidRPr="0003778D">
        <w:rPr>
          <w:rFonts w:ascii="Arial" w:hAnsi="Arial" w:cs="Arial"/>
          <w:color w:val="000000" w:themeColor="text1"/>
          <w:sz w:val="24"/>
          <w:szCs w:val="24"/>
          <w:vertAlign w:val="superscript"/>
        </w:rPr>
        <w:t>11</w:t>
      </w:r>
      <w:r w:rsidRPr="0003778D">
        <w:rPr>
          <w:rFonts w:ascii="Arial" w:hAnsi="Arial" w:cs="Arial"/>
          <w:color w:val="000000" w:themeColor="text1"/>
          <w:sz w:val="24"/>
          <w:szCs w:val="24"/>
        </w:rPr>
        <w:t xml:space="preserve"> Most studies indicate that the incidence of axillary lymph node metastases is lower in patients with medullary carcinomas (19%- 46%) than in those with atypical medullary carcinomas (30%-52%) or invasive ductal carcinomas (29%-65%).</w:t>
      </w:r>
      <w:r w:rsidRPr="0003778D">
        <w:rPr>
          <w:rFonts w:ascii="Arial" w:hAnsi="Arial" w:cs="Arial"/>
          <w:color w:val="000000" w:themeColor="text1"/>
          <w:sz w:val="24"/>
          <w:szCs w:val="24"/>
          <w:vertAlign w:val="superscript"/>
        </w:rPr>
        <w:t>12</w:t>
      </w:r>
      <w:r w:rsidRPr="0003778D">
        <w:rPr>
          <w:color w:val="000000" w:themeColor="text1"/>
          <w:sz w:val="24"/>
          <w:szCs w:val="24"/>
          <w:vertAlign w:val="superscript"/>
        </w:rPr>
        <w:t xml:space="preserve"> </w:t>
      </w:r>
      <w:r w:rsidRPr="0003778D">
        <w:rPr>
          <w:rFonts w:ascii="Arial" w:hAnsi="Arial" w:cs="Arial"/>
          <w:color w:val="000000" w:themeColor="text1"/>
          <w:sz w:val="24"/>
          <w:szCs w:val="24"/>
        </w:rPr>
        <w:t>In our study, the number of positive metastatic lymph node involvement were  more in atypical MBC</w:t>
      </w:r>
      <w:r w:rsidR="006A4B98">
        <w:rPr>
          <w:rFonts w:ascii="Arial" w:hAnsi="Arial" w:cs="Arial"/>
          <w:color w:val="000000" w:themeColor="text1"/>
          <w:sz w:val="24"/>
          <w:szCs w:val="24"/>
        </w:rPr>
        <w:t>( 50%)</w:t>
      </w:r>
      <w:r w:rsidRPr="0003778D">
        <w:rPr>
          <w:rFonts w:ascii="Arial" w:hAnsi="Arial" w:cs="Arial"/>
          <w:color w:val="000000" w:themeColor="text1"/>
          <w:sz w:val="24"/>
          <w:szCs w:val="24"/>
        </w:rPr>
        <w:t xml:space="preserve"> compared to typical MBC. Typically MBCs are almost invariably triple hormone receptor negative, although some typical and atypical </w:t>
      </w:r>
      <w:r w:rsidRPr="0003778D">
        <w:rPr>
          <w:rFonts w:ascii="Arial" w:hAnsi="Arial" w:cs="Arial"/>
          <w:color w:val="000000" w:themeColor="text1"/>
          <w:sz w:val="24"/>
          <w:szCs w:val="24"/>
          <w:shd w:val="clear" w:color="auto" w:fill="FFFFFF"/>
        </w:rPr>
        <w:t>MBCs are ER, PR and/or HER-2 positive, indicating the heterogeneity of this type of breast carcinomas.</w:t>
      </w:r>
      <w:r w:rsidRPr="0003778D">
        <w:rPr>
          <w:rFonts w:ascii="Arial" w:hAnsi="Arial" w:cs="Arial"/>
          <w:color w:val="000000" w:themeColor="text1"/>
          <w:sz w:val="24"/>
          <w:szCs w:val="24"/>
          <w:shd w:val="clear" w:color="auto" w:fill="FFFFFF"/>
          <w:vertAlign w:val="superscript"/>
        </w:rPr>
        <w:t>13</w:t>
      </w:r>
      <w:r w:rsidRPr="0003778D">
        <w:rPr>
          <w:rFonts w:ascii="Arial" w:hAnsi="Arial" w:cs="Arial"/>
          <w:color w:val="000000" w:themeColor="text1"/>
          <w:sz w:val="24"/>
          <w:szCs w:val="24"/>
        </w:rPr>
        <w:t xml:space="preserve"> In our study IHC showed triple negat</w:t>
      </w:r>
      <w:r w:rsidR="00954161">
        <w:rPr>
          <w:rFonts w:ascii="Arial" w:hAnsi="Arial" w:cs="Arial"/>
          <w:color w:val="000000" w:themeColor="text1"/>
          <w:sz w:val="24"/>
          <w:szCs w:val="24"/>
        </w:rPr>
        <w:t>ivity in 75% cases of MBC (Fig 3</w:t>
      </w:r>
      <w:r w:rsidRPr="0003778D">
        <w:rPr>
          <w:rFonts w:ascii="Arial" w:hAnsi="Arial" w:cs="Arial"/>
          <w:color w:val="000000" w:themeColor="text1"/>
          <w:sz w:val="24"/>
          <w:szCs w:val="24"/>
        </w:rPr>
        <w:t>) with majority of  in typical MBC (80%) similar to study  conducted by Jagtap et al</w:t>
      </w:r>
      <w:r w:rsidRPr="0003778D">
        <w:rPr>
          <w:rFonts w:ascii="Arial" w:hAnsi="Arial" w:cs="Arial"/>
          <w:color w:val="000000" w:themeColor="text1"/>
          <w:sz w:val="24"/>
          <w:szCs w:val="24"/>
          <w:vertAlign w:val="superscript"/>
        </w:rPr>
        <w:t xml:space="preserve">1 </w:t>
      </w:r>
      <w:r w:rsidRPr="0003778D">
        <w:rPr>
          <w:rFonts w:ascii="Arial" w:hAnsi="Arial" w:cs="Arial"/>
          <w:color w:val="000000" w:themeColor="text1"/>
          <w:sz w:val="24"/>
          <w:szCs w:val="24"/>
        </w:rPr>
        <w:t>.Of the two cases of atypical MBC, one case was ER ,PR positive ,while Her 2</w:t>
      </w:r>
      <w:r w:rsidR="00C36153">
        <w:rPr>
          <w:rFonts w:ascii="Arial" w:hAnsi="Arial" w:cs="Arial"/>
          <w:color w:val="000000" w:themeColor="text1"/>
          <w:sz w:val="24"/>
          <w:szCs w:val="24"/>
        </w:rPr>
        <w:t>/neu</w:t>
      </w:r>
      <w:r w:rsidRPr="0003778D">
        <w:rPr>
          <w:rFonts w:ascii="Arial" w:hAnsi="Arial" w:cs="Arial"/>
          <w:color w:val="000000" w:themeColor="text1"/>
          <w:sz w:val="24"/>
          <w:szCs w:val="24"/>
        </w:rPr>
        <w:t xml:space="preserve"> negativity was noted in 100 %. </w:t>
      </w:r>
    </w:p>
    <w:p w:rsidR="00F71880" w:rsidRPr="00A46289"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The treatment for MBC whether typical or atypical is similar to invasive ductal carcinoma. The division into typical and atypical subtypes has prognostic significance.</w:t>
      </w:r>
      <w:r w:rsidRPr="0003778D">
        <w:rPr>
          <w:rFonts w:ascii="Arial" w:hAnsi="Arial" w:cs="Arial"/>
          <w:color w:val="000000" w:themeColor="text1"/>
          <w:sz w:val="24"/>
          <w:szCs w:val="24"/>
          <w:vertAlign w:val="superscript"/>
        </w:rPr>
        <w:t xml:space="preserve">14 </w:t>
      </w:r>
      <w:r w:rsidRPr="0003778D">
        <w:rPr>
          <w:rFonts w:ascii="Arial" w:hAnsi="Arial" w:cs="Arial"/>
          <w:color w:val="000000" w:themeColor="text1"/>
          <w:sz w:val="24"/>
          <w:szCs w:val="24"/>
        </w:rPr>
        <w:t>H</w:t>
      </w:r>
      <w:r w:rsidR="00F517A3">
        <w:rPr>
          <w:rFonts w:ascii="Arial" w:hAnsi="Arial" w:cs="Arial"/>
          <w:color w:val="000000" w:themeColor="text1"/>
          <w:sz w:val="24"/>
          <w:szCs w:val="24"/>
        </w:rPr>
        <w:t xml:space="preserve">ence </w:t>
      </w:r>
      <w:r w:rsidRPr="0003778D">
        <w:rPr>
          <w:rFonts w:ascii="Arial" w:hAnsi="Arial" w:cs="Arial"/>
          <w:color w:val="000000" w:themeColor="text1"/>
          <w:sz w:val="24"/>
          <w:szCs w:val="24"/>
        </w:rPr>
        <w:t xml:space="preserve"> studies necessitates the </w:t>
      </w:r>
      <w:r w:rsidR="00F517A3">
        <w:rPr>
          <w:rFonts w:ascii="Arial" w:hAnsi="Arial" w:cs="Arial"/>
          <w:color w:val="000000" w:themeColor="text1"/>
          <w:sz w:val="24"/>
          <w:szCs w:val="24"/>
        </w:rPr>
        <w:t xml:space="preserve">categorization </w:t>
      </w:r>
      <w:r w:rsidR="00553F79">
        <w:rPr>
          <w:rFonts w:ascii="Arial" w:hAnsi="Arial" w:cs="Arial"/>
          <w:color w:val="000000" w:themeColor="text1"/>
          <w:sz w:val="24"/>
          <w:szCs w:val="24"/>
        </w:rPr>
        <w:t>of MBCs</w:t>
      </w:r>
      <w:r w:rsidRPr="0003778D">
        <w:rPr>
          <w:rFonts w:ascii="Arial" w:hAnsi="Arial" w:cs="Arial"/>
          <w:color w:val="000000" w:themeColor="text1"/>
          <w:sz w:val="24"/>
          <w:szCs w:val="24"/>
        </w:rPr>
        <w:t xml:space="preserve"> since  adujuvant chemotherapy is given along with MRM in atypical MBC, unlike in typical MBC where MRM is the  mainstay of treatment.</w:t>
      </w:r>
      <w:r w:rsidRPr="0003778D">
        <w:rPr>
          <w:rFonts w:ascii="Arial" w:hAnsi="Arial" w:cs="Arial"/>
          <w:color w:val="000000" w:themeColor="text1"/>
          <w:sz w:val="24"/>
          <w:szCs w:val="24"/>
          <w:vertAlign w:val="superscript"/>
        </w:rPr>
        <w:t>10</w:t>
      </w:r>
    </w:p>
    <w:p w:rsidR="00F71880" w:rsidRDefault="00F71880" w:rsidP="00F71880">
      <w:pPr>
        <w:rPr>
          <w:rFonts w:ascii="Times New Roman" w:hAnsi="Times New Roman"/>
          <w:b/>
          <w:sz w:val="28"/>
          <w:szCs w:val="28"/>
        </w:rPr>
      </w:pPr>
      <w:r w:rsidRPr="00B00480">
        <w:rPr>
          <w:rFonts w:ascii="Times New Roman" w:hAnsi="Times New Roman"/>
          <w:b/>
          <w:sz w:val="28"/>
          <w:szCs w:val="28"/>
        </w:rPr>
        <w:t>CONCLUSION</w:t>
      </w:r>
      <w:r w:rsidR="0061773C" w:rsidRPr="00B00480">
        <w:rPr>
          <w:rFonts w:ascii="Times New Roman" w:hAnsi="Times New Roman"/>
          <w:b/>
          <w:sz w:val="28"/>
          <w:szCs w:val="28"/>
        </w:rPr>
        <w:t>:</w:t>
      </w:r>
    </w:p>
    <w:p w:rsidR="00F71880" w:rsidRPr="00A46289" w:rsidRDefault="00A46289" w:rsidP="00F71880">
      <w:pPr>
        <w:rPr>
          <w:rFonts w:ascii="Times New Roman" w:hAnsi="Times New Roman"/>
          <w:b/>
          <w:sz w:val="28"/>
          <w:szCs w:val="28"/>
        </w:rPr>
      </w:pPr>
      <w:r w:rsidRPr="0003778D">
        <w:rPr>
          <w:rFonts w:ascii="Arial" w:hAnsi="Arial" w:cs="Arial"/>
          <w:color w:val="000000" w:themeColor="text1"/>
          <w:sz w:val="24"/>
          <w:szCs w:val="24"/>
        </w:rPr>
        <w:t>MBC is the unique type of breast carcinoma with good prognosis.  Larger studies are essential to understand the tumour biology in MBC. Atypical MBC have histological  features of IDC  as well. Histopathology plays a important role in diagnosing variants of MBC since the treatment differs.</w:t>
      </w:r>
      <w:r w:rsidR="00F71880" w:rsidRPr="00B00480">
        <w:rPr>
          <w:rFonts w:ascii="Times New Roman" w:eastAsia="Times New Roman" w:hAnsi="Times New Roman"/>
          <w:sz w:val="28"/>
          <w:szCs w:val="28"/>
          <w:u w:val="single"/>
          <w:bdr w:val="none" w:sz="0" w:space="0" w:color="auto" w:frame="1"/>
        </w:rPr>
        <w:br w:type="page"/>
      </w:r>
    </w:p>
    <w:p w:rsidR="0061773C" w:rsidRPr="00B00480" w:rsidRDefault="0061773C" w:rsidP="0061773C">
      <w:pPr>
        <w:rPr>
          <w:rFonts w:ascii="Times New Roman" w:eastAsia="Times New Roman" w:hAnsi="Times New Roman"/>
          <w:b/>
          <w:sz w:val="28"/>
          <w:szCs w:val="28"/>
          <w:bdr w:val="none" w:sz="0" w:space="0" w:color="auto" w:frame="1"/>
        </w:rPr>
      </w:pPr>
      <w:commentRangeStart w:id="7"/>
      <w:r w:rsidRPr="00B00480">
        <w:rPr>
          <w:rFonts w:ascii="Times New Roman" w:eastAsia="Times New Roman" w:hAnsi="Times New Roman"/>
          <w:b/>
          <w:sz w:val="28"/>
          <w:szCs w:val="28"/>
          <w:bdr w:val="none" w:sz="0" w:space="0" w:color="auto" w:frame="1"/>
        </w:rPr>
        <w:lastRenderedPageBreak/>
        <w:t>ACKNOWLEDGEMENTS</w:t>
      </w:r>
      <w:commentRangeEnd w:id="7"/>
      <w:r w:rsidRPr="00B00480">
        <w:rPr>
          <w:rStyle w:val="CommentReference"/>
          <w:b/>
          <w:sz w:val="28"/>
          <w:szCs w:val="28"/>
        </w:rPr>
        <w:commentReference w:id="7"/>
      </w:r>
      <w:r w:rsidRPr="00B00480">
        <w:rPr>
          <w:rFonts w:ascii="Times New Roman" w:eastAsia="Times New Roman" w:hAnsi="Times New Roman"/>
          <w:b/>
          <w:sz w:val="28"/>
          <w:szCs w:val="28"/>
          <w:bdr w:val="none" w:sz="0" w:space="0" w:color="auto" w:frame="1"/>
        </w:rPr>
        <w:t>:</w:t>
      </w:r>
      <w:r w:rsidR="00A46289">
        <w:rPr>
          <w:rFonts w:ascii="Times New Roman" w:eastAsia="Times New Roman" w:hAnsi="Times New Roman"/>
          <w:b/>
          <w:sz w:val="28"/>
          <w:szCs w:val="28"/>
          <w:bdr w:val="none" w:sz="0" w:space="0" w:color="auto" w:frame="1"/>
        </w:rPr>
        <w:t xml:space="preserve"> nil</w:t>
      </w:r>
    </w:p>
    <w:p w:rsidR="0061773C" w:rsidRPr="00B00480" w:rsidRDefault="0061773C" w:rsidP="0061773C">
      <w:pPr>
        <w:rPr>
          <w:rFonts w:ascii="Times New Roman" w:eastAsia="Times New Roman" w:hAnsi="Times New Roman"/>
          <w:sz w:val="28"/>
          <w:szCs w:val="28"/>
          <w:bdr w:val="none" w:sz="0" w:space="0" w:color="auto" w:frame="1"/>
        </w:rPr>
      </w:pPr>
    </w:p>
    <w:p w:rsidR="0061773C" w:rsidRPr="00B00480" w:rsidRDefault="0061773C" w:rsidP="0061773C">
      <w:pPr>
        <w:rPr>
          <w:rFonts w:ascii="Times New Roman" w:eastAsia="Times New Roman" w:hAnsi="Times New Roman"/>
          <w:sz w:val="28"/>
          <w:szCs w:val="28"/>
          <w:bdr w:val="none" w:sz="0" w:space="0" w:color="auto" w:frame="1"/>
        </w:rPr>
      </w:pPr>
    </w:p>
    <w:p w:rsidR="0061773C" w:rsidRPr="00B00480" w:rsidRDefault="0061773C" w:rsidP="0061773C">
      <w:pPr>
        <w:rPr>
          <w:rFonts w:ascii="Times New Roman" w:eastAsia="Times New Roman" w:hAnsi="Times New Roman"/>
          <w:b/>
          <w:sz w:val="28"/>
          <w:szCs w:val="28"/>
          <w:bdr w:val="none" w:sz="0" w:space="0" w:color="auto" w:frame="1"/>
        </w:rPr>
      </w:pPr>
      <w:r w:rsidRPr="00B00480">
        <w:rPr>
          <w:rFonts w:ascii="Times New Roman" w:eastAsia="Times New Roman" w:hAnsi="Times New Roman"/>
          <w:b/>
          <w:sz w:val="28"/>
          <w:szCs w:val="28"/>
          <w:bdr w:val="none" w:sz="0" w:space="0" w:color="auto" w:frame="1"/>
        </w:rPr>
        <w:t xml:space="preserve">FUNDING: </w:t>
      </w:r>
      <w:r w:rsidR="00A46289">
        <w:rPr>
          <w:rFonts w:ascii="Times New Roman" w:eastAsia="Times New Roman" w:hAnsi="Times New Roman"/>
          <w:b/>
          <w:sz w:val="28"/>
          <w:szCs w:val="28"/>
          <w:bdr w:val="none" w:sz="0" w:space="0" w:color="auto" w:frame="1"/>
        </w:rPr>
        <w:t>nil</w:t>
      </w:r>
      <w:r w:rsidRPr="00B00480">
        <w:rPr>
          <w:rFonts w:ascii="Times New Roman" w:eastAsia="Times New Roman" w:hAnsi="Times New Roman"/>
          <w:b/>
          <w:sz w:val="28"/>
          <w:szCs w:val="28"/>
          <w:bdr w:val="none" w:sz="0" w:space="0" w:color="auto" w:frame="1"/>
        </w:rPr>
        <w:br/>
      </w:r>
      <w:r w:rsidRPr="00B00480">
        <w:rPr>
          <w:rFonts w:ascii="Times New Roman" w:eastAsia="Times New Roman" w:hAnsi="Times New Roman"/>
          <w:sz w:val="28"/>
          <w:szCs w:val="28"/>
          <w:bdr w:val="none" w:sz="0" w:space="0" w:color="auto" w:frame="1"/>
        </w:rPr>
        <w:br/>
      </w:r>
    </w:p>
    <w:p w:rsidR="0061773C" w:rsidRPr="00B00480" w:rsidRDefault="0061773C" w:rsidP="0061773C">
      <w:pPr>
        <w:rPr>
          <w:rFonts w:ascii="Times New Roman" w:eastAsia="Times New Roman" w:hAnsi="Times New Roman"/>
          <w:b/>
          <w:sz w:val="28"/>
          <w:szCs w:val="28"/>
          <w:bdr w:val="none" w:sz="0" w:space="0" w:color="auto" w:frame="1"/>
        </w:rPr>
      </w:pPr>
      <w:r w:rsidRPr="00B00480">
        <w:rPr>
          <w:rFonts w:ascii="Times New Roman" w:eastAsia="Times New Roman" w:hAnsi="Times New Roman"/>
          <w:b/>
          <w:sz w:val="28"/>
          <w:szCs w:val="28"/>
          <w:bdr w:val="none" w:sz="0" w:space="0" w:color="auto" w:frame="1"/>
        </w:rPr>
        <w:t xml:space="preserve">COMPETING INTERESTS: </w:t>
      </w:r>
      <w:r w:rsidR="00A46289">
        <w:rPr>
          <w:rFonts w:ascii="Times New Roman" w:eastAsia="Times New Roman" w:hAnsi="Times New Roman"/>
          <w:b/>
          <w:sz w:val="28"/>
          <w:szCs w:val="28"/>
          <w:bdr w:val="none" w:sz="0" w:space="0" w:color="auto" w:frame="1"/>
        </w:rPr>
        <w:t>nil</w:t>
      </w:r>
    </w:p>
    <w:p w:rsidR="0061773C" w:rsidRPr="00B00480" w:rsidRDefault="0061773C" w:rsidP="0061773C">
      <w:pPr>
        <w:rPr>
          <w:rFonts w:ascii="Times New Roman" w:hAnsi="Times New Roman"/>
          <w:sz w:val="28"/>
          <w:szCs w:val="28"/>
          <w:u w:val="single"/>
        </w:rPr>
      </w:pPr>
    </w:p>
    <w:p w:rsidR="0061773C" w:rsidRPr="00B00480" w:rsidRDefault="0061773C" w:rsidP="0061773C">
      <w:pPr>
        <w:rPr>
          <w:rFonts w:ascii="Times New Roman" w:eastAsia="Times New Roman" w:hAnsi="Times New Roman"/>
          <w:b/>
          <w:sz w:val="28"/>
          <w:szCs w:val="28"/>
          <w:bdr w:val="none" w:sz="0" w:space="0" w:color="auto" w:frame="1"/>
        </w:rPr>
      </w:pPr>
      <w:r w:rsidRPr="00B00480">
        <w:rPr>
          <w:rFonts w:ascii="Times New Roman" w:hAnsi="Times New Roman"/>
          <w:sz w:val="28"/>
          <w:szCs w:val="28"/>
          <w:u w:val="single"/>
        </w:rPr>
        <w:br w:type="page"/>
      </w:r>
      <w:commentRangeStart w:id="8"/>
      <w:r w:rsidRPr="00B00480">
        <w:rPr>
          <w:rFonts w:ascii="Times New Roman" w:eastAsia="Times New Roman" w:hAnsi="Times New Roman"/>
          <w:b/>
          <w:sz w:val="28"/>
          <w:szCs w:val="28"/>
          <w:bdr w:val="none" w:sz="0" w:space="0" w:color="auto" w:frame="1"/>
        </w:rPr>
        <w:lastRenderedPageBreak/>
        <w:t>REFERENCE</w:t>
      </w:r>
      <w:commentRangeEnd w:id="8"/>
      <w:r w:rsidRPr="00B00480">
        <w:rPr>
          <w:rStyle w:val="CommentReference"/>
          <w:sz w:val="28"/>
          <w:szCs w:val="28"/>
        </w:rPr>
        <w:commentReference w:id="8"/>
      </w:r>
      <w:r w:rsidRPr="00B00480">
        <w:rPr>
          <w:rFonts w:ascii="Times New Roman" w:eastAsia="Times New Roman" w:hAnsi="Times New Roman"/>
          <w:b/>
          <w:sz w:val="28"/>
          <w:szCs w:val="28"/>
          <w:bdr w:val="none" w:sz="0" w:space="0" w:color="auto" w:frame="1"/>
        </w:rPr>
        <w:t>:</w:t>
      </w:r>
    </w:p>
    <w:p w:rsidR="0061773C" w:rsidRPr="00B00480" w:rsidRDefault="0061773C" w:rsidP="0061773C">
      <w:pPr>
        <w:rPr>
          <w:rFonts w:ascii="Times New Roman" w:hAnsi="Times New Roman"/>
          <w:sz w:val="28"/>
          <w:szCs w:val="28"/>
        </w:rPr>
      </w:pP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1. Jagtap VS, Beniwal A, Shah HP et al. Medullary carcinoma of breast : Clinicopathological study. J evid based med health 2016; 3(45):2256-60.</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2. Chu Z, Lin H, Liang X, Huang R, Zhan Q, Jiang J et al. Clinicopathological characteristics of Typical medullary breast carcinoma: A retrospective study of 117 cases.PLoS ONE 2014;9(11): E111493.</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3. </w:t>
      </w:r>
      <w:r w:rsidRPr="0003778D">
        <w:rPr>
          <w:rFonts w:ascii="Arial Unicode MS" w:eastAsia="Arial Unicode MS" w:hAnsi="Arial Unicode MS" w:cs="Arial Unicode MS" w:hint="eastAsia"/>
          <w:color w:val="000000" w:themeColor="text1"/>
          <w:shd w:val="clear" w:color="auto" w:fill="FFFFFF"/>
        </w:rPr>
        <w:t>Juan</w:t>
      </w:r>
      <w:r w:rsidRPr="0003778D">
        <w:rPr>
          <w:rFonts w:ascii="Arial Unicode MS" w:eastAsia="Arial Unicode MS" w:hAnsi="Arial Unicode MS" w:cs="Arial Unicode MS"/>
          <w:color w:val="000000" w:themeColor="text1"/>
          <w:shd w:val="clear" w:color="auto" w:fill="FFFFFF"/>
        </w:rPr>
        <w:t xml:space="preserve"> Rosai</w:t>
      </w:r>
      <w:r w:rsidRPr="0003778D">
        <w:rPr>
          <w:rFonts w:ascii="Arial Unicode MS" w:eastAsia="Arial Unicode MS" w:hAnsi="Arial Unicode MS" w:cs="Arial Unicode MS" w:hint="eastAsia"/>
          <w:color w:val="000000" w:themeColor="text1"/>
          <w:shd w:val="clear" w:color="auto" w:fill="FFFFFF"/>
        </w:rPr>
        <w:t>,</w:t>
      </w:r>
      <w:r w:rsidRPr="0003778D">
        <w:rPr>
          <w:rFonts w:ascii="Arial Unicode MS" w:eastAsia="Arial Unicode MS" w:hAnsi="Arial Unicode MS" w:cs="Arial Unicode MS"/>
          <w:color w:val="000000" w:themeColor="text1"/>
          <w:shd w:val="clear" w:color="auto" w:fill="FFFFFF"/>
        </w:rPr>
        <w:t xml:space="preserve"> Breast In</w:t>
      </w:r>
      <w:r w:rsidRPr="0003778D">
        <w:rPr>
          <w:rStyle w:val="apple-converted-space"/>
          <w:rFonts w:ascii="Arial Unicode MS" w:eastAsia="Arial Unicode MS" w:hAnsi="Arial Unicode MS" w:cs="Arial Unicode MS" w:hint="eastAsia"/>
          <w:color w:val="000000" w:themeColor="text1"/>
          <w:shd w:val="clear" w:color="auto" w:fill="FFFFFF"/>
        </w:rPr>
        <w:t> </w:t>
      </w:r>
      <w:r w:rsidRPr="0003778D">
        <w:rPr>
          <w:rFonts w:ascii="Arial Unicode MS" w:eastAsia="Arial Unicode MS" w:hAnsi="Arial Unicode MS" w:cs="Arial Unicode MS" w:hint="eastAsia"/>
          <w:i/>
          <w:iCs/>
          <w:color w:val="000000" w:themeColor="text1"/>
          <w:shd w:val="clear" w:color="auto" w:fill="FFFFFF"/>
        </w:rPr>
        <w:t>Rosai and Ackerman's surgical pathology</w:t>
      </w:r>
      <w:r w:rsidRPr="0003778D">
        <w:rPr>
          <w:rFonts w:ascii="Arial Unicode MS" w:eastAsia="Arial Unicode MS" w:hAnsi="Arial Unicode MS" w:cs="Arial Unicode MS" w:hint="eastAsia"/>
          <w:color w:val="000000" w:themeColor="text1"/>
          <w:shd w:val="clear" w:color="auto" w:fill="FFFFFF"/>
        </w:rPr>
        <w:t xml:space="preserve">. </w:t>
      </w:r>
      <w:r w:rsidRPr="0003778D">
        <w:rPr>
          <w:rFonts w:ascii="Arial Unicode MS" w:eastAsia="Arial Unicode MS" w:hAnsi="Arial Unicode MS" w:cs="Arial Unicode MS"/>
          <w:color w:val="000000" w:themeColor="text1"/>
          <w:shd w:val="clear" w:color="auto" w:fill="FFFFFF"/>
        </w:rPr>
        <w:t>10</w:t>
      </w:r>
      <w:r w:rsidRPr="0003778D">
        <w:rPr>
          <w:rFonts w:ascii="Arial Unicode MS" w:eastAsia="Arial Unicode MS" w:hAnsi="Arial Unicode MS" w:cs="Arial Unicode MS"/>
          <w:color w:val="000000" w:themeColor="text1"/>
          <w:shd w:val="clear" w:color="auto" w:fill="FFFFFF"/>
          <w:vertAlign w:val="superscript"/>
        </w:rPr>
        <w:t>th</w:t>
      </w:r>
      <w:r w:rsidRPr="0003778D">
        <w:rPr>
          <w:rFonts w:ascii="Arial Unicode MS" w:eastAsia="Arial Unicode MS" w:hAnsi="Arial Unicode MS" w:cs="Arial Unicode MS"/>
          <w:color w:val="000000" w:themeColor="text1"/>
          <w:shd w:val="clear" w:color="auto" w:fill="FFFFFF"/>
        </w:rPr>
        <w:t xml:space="preserve"> edition, </w:t>
      </w:r>
      <w:r w:rsidRPr="0003778D">
        <w:rPr>
          <w:rFonts w:ascii="Arial Unicode MS" w:eastAsia="Arial Unicode MS" w:hAnsi="Arial Unicode MS" w:cs="Arial Unicode MS" w:hint="eastAsia"/>
          <w:color w:val="000000" w:themeColor="text1"/>
          <w:shd w:val="clear" w:color="auto" w:fill="FFFFFF"/>
        </w:rPr>
        <w:t>E</w:t>
      </w:r>
      <w:r w:rsidRPr="0003778D">
        <w:rPr>
          <w:rFonts w:ascii="Arial Unicode MS" w:eastAsia="Arial Unicode MS" w:hAnsi="Arial Unicode MS" w:cs="Arial Unicode MS"/>
          <w:color w:val="000000" w:themeColor="text1"/>
          <w:shd w:val="clear" w:color="auto" w:fill="FFFFFF"/>
        </w:rPr>
        <w:t>lsiever,</w:t>
      </w:r>
      <w:r w:rsidRPr="0003778D">
        <w:rPr>
          <w:rFonts w:ascii="Arial Unicode MS" w:eastAsia="Arial Unicode MS" w:hAnsi="Arial Unicode MS" w:cs="Arial Unicode MS" w:hint="eastAsia"/>
          <w:color w:val="000000" w:themeColor="text1"/>
          <w:shd w:val="clear" w:color="auto" w:fill="FFFFFF"/>
        </w:rPr>
        <w:t>Mosby</w:t>
      </w:r>
      <w:r w:rsidRPr="0003778D">
        <w:rPr>
          <w:rFonts w:ascii="Arial Unicode MS" w:eastAsia="Arial Unicode MS" w:hAnsi="Arial Unicode MS" w:cs="Arial Unicode MS"/>
          <w:color w:val="000000" w:themeColor="text1"/>
          <w:shd w:val="clear" w:color="auto" w:fill="FFFFFF"/>
        </w:rPr>
        <w:t>,2011:1660-1773.</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4.Tavasolli FA, Devilee P. World health organization classification of tumors,Pathology and genetics of tumors of breast and female genital organs. Lyon: IARC press;2003.</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5. Marginean F, Rakha AE, Ho BC, Ellis IO,Lee AH. Histological features of medullary carcinoma and prognosis in triple negative basal like carcinomas of the breast. Modern pathology 2010;23:1357-63.</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6. Sloane JP. Biopsy pathology of the breast. 2</w:t>
      </w:r>
      <w:r w:rsidRPr="0003778D">
        <w:rPr>
          <w:rFonts w:ascii="Arial" w:hAnsi="Arial" w:cs="Arial"/>
          <w:color w:val="000000" w:themeColor="text1"/>
          <w:sz w:val="24"/>
          <w:szCs w:val="24"/>
          <w:vertAlign w:val="superscript"/>
        </w:rPr>
        <w:t>nd</w:t>
      </w:r>
      <w:r w:rsidRPr="0003778D">
        <w:rPr>
          <w:rFonts w:ascii="Arial" w:hAnsi="Arial" w:cs="Arial"/>
          <w:color w:val="000000" w:themeColor="text1"/>
          <w:sz w:val="24"/>
          <w:szCs w:val="24"/>
        </w:rPr>
        <w:t xml:space="preserve"> edition. New York : Oxford University  Press;2001. </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7.Moore OS, Foote FW. The relatively favourable prognosis of medullary carcinoma of the breast. Cancer 1949;2(4):635-64.</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8. Chetty R.Gastrointestinal cancers accompanied by a dense lymphoid component: an overview with special reference to gastric and colonic medullary and lymphoepithelioma-like carcinomas. Clin Pathol 2012;65:1062–1065.</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9. Ridolfi RL, Rosen PP, Port A, et al. Medullary carcinoma of the breast: a clinicopathological study with 10 year follow-up. Cancer 1977;40(4):1365-1385. </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10.Kleer CG. Carcinoma of the breast with medullary-like features Diagnostic challenges and relationship with BRCA1 and ERH2 functions. Arch Pathol Lab med 2009;133:1822-1825.</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 xml:space="preserve">11. </w:t>
      </w:r>
      <w:r w:rsidRPr="0003778D">
        <w:rPr>
          <w:rStyle w:val="drf"/>
          <w:rFonts w:ascii="Arial" w:hAnsi="Arial" w:cs="Arial"/>
          <w:color w:val="000000" w:themeColor="text1"/>
          <w:sz w:val="24"/>
          <w:szCs w:val="24"/>
        </w:rPr>
        <w:t xml:space="preserve">Rosen PP, Lesser ML, Kinne DW, et al. Discontinuous or “skip” metastases in breast carcinoma. </w:t>
      </w:r>
      <w:r w:rsidRPr="0003778D">
        <w:rPr>
          <w:rStyle w:val="emphi"/>
          <w:rFonts w:ascii="Arial" w:hAnsi="Arial" w:cs="Arial"/>
          <w:color w:val="000000" w:themeColor="text1"/>
          <w:sz w:val="24"/>
          <w:szCs w:val="24"/>
        </w:rPr>
        <w:t>Ann Surg</w:t>
      </w:r>
      <w:r w:rsidRPr="0003778D">
        <w:rPr>
          <w:rStyle w:val="drf"/>
          <w:rFonts w:ascii="Arial" w:hAnsi="Arial" w:cs="Arial"/>
          <w:color w:val="000000" w:themeColor="text1"/>
          <w:sz w:val="24"/>
          <w:szCs w:val="24"/>
        </w:rPr>
        <w:t xml:space="preserve"> 1983;197:276–283</w:t>
      </w:r>
      <w:r w:rsidRPr="0003778D">
        <w:rPr>
          <w:rFonts w:ascii="Arial" w:hAnsi="Arial" w:cs="Arial"/>
          <w:color w:val="000000" w:themeColor="text1"/>
          <w:sz w:val="24"/>
          <w:szCs w:val="24"/>
        </w:rPr>
        <w:t xml:space="preserve"> </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12. Dabbs DJ,Specail types of invasive breast carcinoma.In Breast pathology.2</w:t>
      </w:r>
      <w:r w:rsidRPr="0003778D">
        <w:rPr>
          <w:rFonts w:ascii="Arial" w:hAnsi="Arial" w:cs="Arial"/>
          <w:color w:val="000000" w:themeColor="text1"/>
          <w:sz w:val="24"/>
          <w:szCs w:val="24"/>
          <w:vertAlign w:val="superscript"/>
        </w:rPr>
        <w:t>nd</w:t>
      </w:r>
      <w:r w:rsidRPr="0003778D">
        <w:rPr>
          <w:rFonts w:ascii="Arial" w:hAnsi="Arial" w:cs="Arial"/>
          <w:color w:val="000000" w:themeColor="text1"/>
          <w:sz w:val="24"/>
          <w:szCs w:val="24"/>
        </w:rPr>
        <w:t xml:space="preserve"> edition,Elseiver,Philadelphia,2017:639-662.</w:t>
      </w:r>
    </w:p>
    <w:p w:rsidR="00A46289" w:rsidRPr="0003778D" w:rsidRDefault="00A46289" w:rsidP="00A46289">
      <w:pPr>
        <w:autoSpaceDE w:val="0"/>
        <w:autoSpaceDN w:val="0"/>
        <w:adjustRightInd w:val="0"/>
        <w:spacing w:after="0"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13. Santosh T, Bal AK, Patro MK, Choudhury A. Medullary Breast Carcinoma: A Case Report and Review of Literature. J Cancer Sci Ther 2015;7: 142-144.</w:t>
      </w:r>
    </w:p>
    <w:p w:rsidR="00A46289" w:rsidRPr="0003778D" w:rsidRDefault="00A46289" w:rsidP="00A46289">
      <w:pPr>
        <w:autoSpaceDE w:val="0"/>
        <w:autoSpaceDN w:val="0"/>
        <w:adjustRightInd w:val="0"/>
        <w:spacing w:after="0" w:line="240" w:lineRule="auto"/>
        <w:jc w:val="both"/>
        <w:rPr>
          <w:rFonts w:ascii="Arial" w:hAnsi="Arial" w:cs="Arial"/>
          <w:color w:val="000000" w:themeColor="text1"/>
          <w:sz w:val="24"/>
          <w:szCs w:val="24"/>
        </w:rPr>
      </w:pPr>
      <w:r w:rsidRPr="0003778D">
        <w:rPr>
          <w:rFonts w:ascii="Arial" w:eastAsia="AdobeFangsongStd-Regular" w:hAnsi="Arial" w:cs="Arial"/>
          <w:bCs/>
          <w:color w:val="000000" w:themeColor="text1"/>
          <w:sz w:val="24"/>
          <w:szCs w:val="24"/>
        </w:rPr>
        <w:t xml:space="preserve"> </w:t>
      </w:r>
    </w:p>
    <w:p w:rsidR="00A46289" w:rsidRPr="0003778D" w:rsidRDefault="00A46289" w:rsidP="00A46289">
      <w:pPr>
        <w:spacing w:line="240" w:lineRule="auto"/>
        <w:jc w:val="both"/>
        <w:rPr>
          <w:rFonts w:ascii="Arial" w:hAnsi="Arial" w:cs="Arial"/>
          <w:color w:val="000000" w:themeColor="text1"/>
          <w:sz w:val="24"/>
          <w:szCs w:val="24"/>
        </w:rPr>
      </w:pPr>
      <w:r w:rsidRPr="0003778D">
        <w:rPr>
          <w:rFonts w:ascii="Arial" w:hAnsi="Arial" w:cs="Arial"/>
          <w:color w:val="000000" w:themeColor="text1"/>
          <w:sz w:val="24"/>
          <w:szCs w:val="24"/>
        </w:rPr>
        <w:t>14. Rosen PP.Medullary Carcinoma. In Rosen™ Breast Pathology. 3</w:t>
      </w:r>
      <w:r w:rsidRPr="0003778D">
        <w:rPr>
          <w:rFonts w:ascii="Arial" w:hAnsi="Arial" w:cs="Arial"/>
          <w:color w:val="000000" w:themeColor="text1"/>
          <w:sz w:val="24"/>
          <w:szCs w:val="24"/>
          <w:vertAlign w:val="superscript"/>
        </w:rPr>
        <w:t>rd</w:t>
      </w:r>
      <w:r w:rsidRPr="0003778D">
        <w:rPr>
          <w:rFonts w:ascii="Arial" w:hAnsi="Arial" w:cs="Arial"/>
          <w:color w:val="000000" w:themeColor="text1"/>
          <w:sz w:val="24"/>
          <w:szCs w:val="24"/>
        </w:rPr>
        <w:t xml:space="preserve"> edition, Lippincott Williams &amp; Wilkins, Philadelphia, 2009: 449-466.</w:t>
      </w:r>
    </w:p>
    <w:p w:rsidR="00A46289" w:rsidRPr="0003778D" w:rsidRDefault="00A46289" w:rsidP="00A46289">
      <w:pPr>
        <w:pStyle w:val="Default"/>
        <w:ind w:left="720"/>
        <w:jc w:val="both"/>
        <w:rPr>
          <w:rFonts w:ascii="Arial" w:hAnsi="Arial" w:cs="Arial"/>
          <w:color w:val="000000" w:themeColor="text1"/>
        </w:rPr>
      </w:pPr>
    </w:p>
    <w:p w:rsidR="00A46289" w:rsidRPr="0003778D" w:rsidRDefault="00A46289" w:rsidP="00A46289">
      <w:pPr>
        <w:spacing w:line="240" w:lineRule="auto"/>
        <w:ind w:left="360"/>
        <w:jc w:val="both"/>
        <w:rPr>
          <w:rFonts w:ascii="Arial" w:hAnsi="Arial" w:cs="Arial"/>
          <w:color w:val="000000" w:themeColor="text1"/>
          <w:sz w:val="24"/>
          <w:szCs w:val="24"/>
        </w:rPr>
      </w:pPr>
    </w:p>
    <w:p w:rsidR="0061773C" w:rsidRPr="00B00480" w:rsidRDefault="0061773C" w:rsidP="0061773C">
      <w:pPr>
        <w:rPr>
          <w:rFonts w:ascii="Times New Roman" w:hAnsi="Times New Roman"/>
          <w:sz w:val="28"/>
          <w:szCs w:val="28"/>
          <w:u w:val="single"/>
        </w:rPr>
      </w:pPr>
      <w:r w:rsidRPr="00B00480">
        <w:rPr>
          <w:rFonts w:ascii="Times New Roman" w:hAnsi="Times New Roman"/>
          <w:sz w:val="28"/>
          <w:szCs w:val="28"/>
          <w:u w:val="single"/>
        </w:rPr>
        <w:lastRenderedPageBreak/>
        <w:br w:type="page"/>
      </w:r>
    </w:p>
    <w:p w:rsidR="0061773C" w:rsidRDefault="0061773C" w:rsidP="0061773C">
      <w:pPr>
        <w:rPr>
          <w:rFonts w:ascii="Times New Roman" w:hAnsi="Times New Roman"/>
          <w:b/>
          <w:sz w:val="28"/>
          <w:szCs w:val="28"/>
        </w:rPr>
      </w:pPr>
      <w:commentRangeStart w:id="9"/>
      <w:r w:rsidRPr="00B00480">
        <w:rPr>
          <w:rFonts w:ascii="Times New Roman" w:hAnsi="Times New Roman"/>
          <w:b/>
          <w:sz w:val="28"/>
          <w:szCs w:val="28"/>
        </w:rPr>
        <w:lastRenderedPageBreak/>
        <w:t>FIGURE</w:t>
      </w:r>
      <w:commentRangeEnd w:id="9"/>
      <w:r w:rsidRPr="00B00480">
        <w:rPr>
          <w:rStyle w:val="CommentReference"/>
          <w:sz w:val="28"/>
          <w:szCs w:val="28"/>
        </w:rPr>
        <w:commentReference w:id="9"/>
      </w:r>
      <w:r w:rsidRPr="00B00480">
        <w:rPr>
          <w:rFonts w:ascii="Times New Roman" w:hAnsi="Times New Roman"/>
          <w:b/>
          <w:sz w:val="28"/>
          <w:szCs w:val="28"/>
        </w:rPr>
        <w:t xml:space="preserve"> WITH </w:t>
      </w:r>
      <w:commentRangeStart w:id="10"/>
      <w:r w:rsidRPr="00B00480">
        <w:rPr>
          <w:rFonts w:ascii="Times New Roman" w:hAnsi="Times New Roman"/>
          <w:b/>
          <w:sz w:val="28"/>
          <w:szCs w:val="28"/>
        </w:rPr>
        <w:t>LEGENDS</w:t>
      </w:r>
      <w:commentRangeEnd w:id="10"/>
      <w:r w:rsidRPr="00B00480">
        <w:rPr>
          <w:rStyle w:val="CommentReference"/>
          <w:sz w:val="28"/>
          <w:szCs w:val="28"/>
        </w:rPr>
        <w:commentReference w:id="10"/>
      </w:r>
    </w:p>
    <w:p w:rsidR="008124C6" w:rsidRDefault="00400A94" w:rsidP="0061773C">
      <w:pPr>
        <w:rPr>
          <w:rFonts w:ascii="Times New Roman" w:eastAsia="Times New Roman" w:hAnsi="Times New Roman"/>
          <w:color w:val="FF0000"/>
          <w:sz w:val="28"/>
          <w:szCs w:val="28"/>
          <w:bdr w:val="none" w:sz="0" w:space="0" w:color="auto" w:frame="1"/>
        </w:rPr>
      </w:pPr>
      <w:r>
        <w:rPr>
          <w:rFonts w:ascii="Times New Roman" w:eastAsia="Times New Roman" w:hAnsi="Times New Roman"/>
          <w:noProof/>
          <w:color w:val="FF0000"/>
          <w:sz w:val="28"/>
          <w:szCs w:val="28"/>
          <w:bdr w:val="none" w:sz="0" w:space="0" w:color="auto" w:frame="1"/>
          <w:lang w:val="en-IN" w:eastAsia="en-IN"/>
        </w:rPr>
        <w:drawing>
          <wp:inline distT="0" distB="0" distL="0" distR="0">
            <wp:extent cx="4880610" cy="3681095"/>
            <wp:effectExtent l="19050" t="0" r="0" b="0"/>
            <wp:docPr id="15" name="Picture 15" descr="C:\Users\Netr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etra\Desktop\1.jpg"/>
                    <pic:cNvPicPr>
                      <a:picLocks noChangeAspect="1" noChangeArrowheads="1"/>
                    </pic:cNvPicPr>
                  </pic:nvPicPr>
                  <pic:blipFill>
                    <a:blip r:embed="rId9"/>
                    <a:srcRect/>
                    <a:stretch>
                      <a:fillRect/>
                    </a:stretch>
                  </pic:blipFill>
                  <pic:spPr bwMode="auto">
                    <a:xfrm>
                      <a:off x="0" y="0"/>
                      <a:ext cx="4880610" cy="3681095"/>
                    </a:xfrm>
                    <a:prstGeom prst="rect">
                      <a:avLst/>
                    </a:prstGeom>
                    <a:noFill/>
                    <a:ln w="9525">
                      <a:noFill/>
                      <a:miter lim="800000"/>
                      <a:headEnd/>
                      <a:tailEnd/>
                    </a:ln>
                  </pic:spPr>
                </pic:pic>
              </a:graphicData>
            </a:graphic>
          </wp:inline>
        </w:drawing>
      </w:r>
    </w:p>
    <w:p w:rsidR="00091DFD" w:rsidRDefault="00091DFD" w:rsidP="008124C6">
      <w:pPr>
        <w:pStyle w:val="NoSpacing"/>
      </w:pPr>
      <w:r>
        <w:t>Figure 1</w:t>
      </w:r>
    </w:p>
    <w:p w:rsidR="008124C6" w:rsidRDefault="008124C6" w:rsidP="008124C6">
      <w:pPr>
        <w:pStyle w:val="NoSpacing"/>
      </w:pPr>
      <w:r>
        <w:t>Typical MBC : A - GROSS showing well circumscribed , nodular fleshy  grayish  pink lesion</w:t>
      </w:r>
    </w:p>
    <w:p w:rsidR="008124C6" w:rsidRDefault="008124C6" w:rsidP="008124C6">
      <w:pPr>
        <w:pStyle w:val="NoSpacing"/>
      </w:pPr>
      <w:r>
        <w:t>B -</w:t>
      </w:r>
      <w:r w:rsidRPr="008124C6">
        <w:t xml:space="preserve"> </w:t>
      </w:r>
      <w:r>
        <w:t xml:space="preserve">Syncytial growth pattern of tumor cells </w:t>
      </w:r>
      <w:r w:rsidR="007900D0">
        <w:t>(H&amp;E 10x)</w:t>
      </w:r>
    </w:p>
    <w:p w:rsidR="008124C6" w:rsidRDefault="008124C6" w:rsidP="008124C6">
      <w:pPr>
        <w:pStyle w:val="NoSpacing"/>
      </w:pPr>
      <w:r>
        <w:t>C- Circumscribed tumor  with moderate to marked lymphoplasmacytic infiltrate</w:t>
      </w:r>
      <w:r w:rsidR="007900D0">
        <w:t>(H&amp;E 4x)</w:t>
      </w:r>
    </w:p>
    <w:p w:rsidR="008124C6" w:rsidRDefault="008124C6" w:rsidP="008124C6">
      <w:pPr>
        <w:pStyle w:val="NoSpacing"/>
      </w:pPr>
      <w:r>
        <w:t>D –Cells exhibiting  high grade nuclear features</w:t>
      </w:r>
      <w:r w:rsidR="007900D0">
        <w:t xml:space="preserve"> (H&amp;E 40 x)</w:t>
      </w:r>
    </w:p>
    <w:p w:rsidR="008124C6" w:rsidRPr="008124C6" w:rsidRDefault="008124C6" w:rsidP="0061773C">
      <w:pPr>
        <w:rPr>
          <w:rFonts w:ascii="Times New Roman" w:hAnsi="Times New Roman"/>
          <w:b/>
          <w:sz w:val="28"/>
          <w:szCs w:val="28"/>
        </w:rPr>
      </w:pPr>
    </w:p>
    <w:p w:rsidR="0061773C" w:rsidRDefault="00400A94" w:rsidP="0061773C">
      <w:pPr>
        <w:rPr>
          <w:rFonts w:ascii="Times New Roman" w:eastAsia="Times New Roman" w:hAnsi="Times New Roman"/>
          <w:color w:val="FF0000"/>
          <w:sz w:val="28"/>
          <w:szCs w:val="28"/>
          <w:bdr w:val="none" w:sz="0" w:space="0" w:color="auto" w:frame="1"/>
        </w:rPr>
      </w:pPr>
      <w:r>
        <w:rPr>
          <w:rFonts w:ascii="Times New Roman" w:eastAsia="Times New Roman" w:hAnsi="Times New Roman"/>
          <w:noProof/>
          <w:color w:val="FF0000"/>
          <w:sz w:val="28"/>
          <w:szCs w:val="28"/>
          <w:bdr w:val="none" w:sz="0" w:space="0" w:color="auto" w:frame="1"/>
          <w:lang w:val="en-IN" w:eastAsia="en-IN"/>
        </w:rPr>
        <w:lastRenderedPageBreak/>
        <w:drawing>
          <wp:inline distT="0" distB="0" distL="0" distR="0">
            <wp:extent cx="5142230" cy="3859530"/>
            <wp:effectExtent l="19050" t="0" r="1270" b="0"/>
            <wp:docPr id="3" name="Picture 3" descr="C:\Users\Netra\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tra\Desktop\2.jpg"/>
                    <pic:cNvPicPr>
                      <a:picLocks noChangeAspect="1" noChangeArrowheads="1"/>
                    </pic:cNvPicPr>
                  </pic:nvPicPr>
                  <pic:blipFill>
                    <a:blip r:embed="rId10"/>
                    <a:srcRect/>
                    <a:stretch>
                      <a:fillRect/>
                    </a:stretch>
                  </pic:blipFill>
                  <pic:spPr bwMode="auto">
                    <a:xfrm>
                      <a:off x="0" y="0"/>
                      <a:ext cx="5142230" cy="3859530"/>
                    </a:xfrm>
                    <a:prstGeom prst="rect">
                      <a:avLst/>
                    </a:prstGeom>
                    <a:noFill/>
                    <a:ln w="9525">
                      <a:noFill/>
                      <a:miter lim="800000"/>
                      <a:headEnd/>
                      <a:tailEnd/>
                    </a:ln>
                  </pic:spPr>
                </pic:pic>
              </a:graphicData>
            </a:graphic>
          </wp:inline>
        </w:drawing>
      </w:r>
    </w:p>
    <w:p w:rsidR="007900D0" w:rsidRPr="007900D0" w:rsidRDefault="00091DFD" w:rsidP="007900D0">
      <w:pPr>
        <w:pStyle w:val="NoSpacing"/>
        <w:jc w:val="both"/>
        <w:rPr>
          <w:rFonts w:eastAsia="Times New Roman" w:cstheme="minorHAnsi"/>
          <w:bdr w:val="none" w:sz="0" w:space="0" w:color="auto" w:frame="1"/>
        </w:rPr>
      </w:pPr>
      <w:r>
        <w:rPr>
          <w:rFonts w:eastAsia="Times New Roman" w:cstheme="minorHAnsi"/>
          <w:bdr w:val="none" w:sz="0" w:space="0" w:color="auto" w:frame="1"/>
        </w:rPr>
        <w:t>Figure 2 :</w:t>
      </w:r>
      <w:r w:rsidR="007900D0" w:rsidRPr="007900D0">
        <w:rPr>
          <w:rFonts w:eastAsia="Times New Roman" w:cstheme="minorHAnsi"/>
          <w:bdr w:val="none" w:sz="0" w:space="0" w:color="auto" w:frame="1"/>
        </w:rPr>
        <w:t>ATYPICAL MBC</w:t>
      </w:r>
      <w:r w:rsidR="00FF57EE" w:rsidRPr="007900D0">
        <w:rPr>
          <w:rFonts w:eastAsia="Times New Roman" w:cstheme="minorHAnsi"/>
          <w:bdr w:val="none" w:sz="0" w:space="0" w:color="auto" w:frame="1"/>
        </w:rPr>
        <w:t xml:space="preserve">: </w:t>
      </w:r>
      <w:r w:rsidR="00A76CB3" w:rsidRPr="007900D0">
        <w:rPr>
          <w:rFonts w:eastAsia="Times New Roman" w:cstheme="minorHAnsi"/>
          <w:bdr w:val="none" w:sz="0" w:space="0" w:color="auto" w:frame="1"/>
        </w:rPr>
        <w:t xml:space="preserve"> </w:t>
      </w:r>
    </w:p>
    <w:p w:rsidR="00FF57EE" w:rsidRPr="007900D0" w:rsidRDefault="00FF57EE" w:rsidP="007900D0">
      <w:pPr>
        <w:pStyle w:val="NoSpacing"/>
        <w:jc w:val="both"/>
        <w:rPr>
          <w:rFonts w:cstheme="minorHAnsi"/>
        </w:rPr>
      </w:pPr>
      <w:r w:rsidRPr="007900D0">
        <w:rPr>
          <w:rFonts w:eastAsia="Times New Roman" w:cstheme="minorHAnsi"/>
          <w:bdr w:val="none" w:sz="0" w:space="0" w:color="auto" w:frame="1"/>
        </w:rPr>
        <w:t>E</w:t>
      </w:r>
      <w:r w:rsidR="007900D0" w:rsidRPr="007900D0">
        <w:rPr>
          <w:rFonts w:eastAsia="Times New Roman" w:cstheme="minorHAnsi"/>
          <w:bdr w:val="none" w:sz="0" w:space="0" w:color="auto" w:frame="1"/>
        </w:rPr>
        <w:t xml:space="preserve"> </w:t>
      </w:r>
      <w:r w:rsidRPr="007900D0">
        <w:rPr>
          <w:rFonts w:eastAsia="Times New Roman" w:cstheme="minorHAnsi"/>
          <w:bdr w:val="none" w:sz="0" w:space="0" w:color="auto" w:frame="1"/>
        </w:rPr>
        <w:t>-</w:t>
      </w:r>
      <w:r w:rsidRPr="007900D0">
        <w:rPr>
          <w:rFonts w:cstheme="minorHAnsi"/>
        </w:rPr>
        <w:t xml:space="preserve"> Gross showing  Large fleshy grey pink with infiltrative margins.</w:t>
      </w:r>
    </w:p>
    <w:p w:rsidR="00FF57EE" w:rsidRPr="007900D0" w:rsidRDefault="00FF57EE" w:rsidP="007900D0">
      <w:pPr>
        <w:pStyle w:val="NoSpacing"/>
        <w:jc w:val="both"/>
        <w:rPr>
          <w:rFonts w:cstheme="minorHAnsi"/>
        </w:rPr>
      </w:pPr>
      <w:r w:rsidRPr="007900D0">
        <w:rPr>
          <w:rFonts w:cstheme="minorHAnsi"/>
        </w:rPr>
        <w:t>F – Tumor exhibiting   infiltrative  margins (H&amp;E 10x)</w:t>
      </w:r>
    </w:p>
    <w:p w:rsidR="00FF57EE" w:rsidRPr="007900D0" w:rsidRDefault="007900D0" w:rsidP="007900D0">
      <w:pPr>
        <w:pStyle w:val="NoSpacing"/>
        <w:jc w:val="both"/>
        <w:rPr>
          <w:rFonts w:cstheme="minorHAnsi"/>
        </w:rPr>
      </w:pPr>
      <w:r w:rsidRPr="007900D0">
        <w:rPr>
          <w:rFonts w:cstheme="minorHAnsi"/>
        </w:rPr>
        <w:t xml:space="preserve">G – High power showing </w:t>
      </w:r>
      <w:r w:rsidR="00FF57EE" w:rsidRPr="007900D0">
        <w:rPr>
          <w:rFonts w:cstheme="minorHAnsi"/>
        </w:rPr>
        <w:t xml:space="preserve">glandular pattern </w:t>
      </w:r>
      <w:r w:rsidRPr="007900D0">
        <w:rPr>
          <w:rFonts w:cstheme="minorHAnsi"/>
        </w:rPr>
        <w:t>(H&amp;E 4</w:t>
      </w:r>
      <w:r w:rsidR="00FF57EE" w:rsidRPr="007900D0">
        <w:rPr>
          <w:rFonts w:cstheme="minorHAnsi"/>
        </w:rPr>
        <w:t>0x)</w:t>
      </w:r>
    </w:p>
    <w:p w:rsidR="0061773C" w:rsidRPr="00B00480" w:rsidRDefault="0061773C" w:rsidP="0061773C">
      <w:pPr>
        <w:rPr>
          <w:rFonts w:ascii="Times New Roman" w:eastAsia="Times New Roman" w:hAnsi="Times New Roman"/>
          <w:color w:val="FF0000"/>
          <w:sz w:val="28"/>
          <w:szCs w:val="28"/>
          <w:bdr w:val="none" w:sz="0" w:space="0" w:color="auto" w:frame="1"/>
        </w:rPr>
      </w:pPr>
    </w:p>
    <w:p w:rsidR="00FF57EE" w:rsidRPr="007E0D05" w:rsidRDefault="007E0D05" w:rsidP="007E0D05">
      <w:pPr>
        <w:rPr>
          <w:rFonts w:ascii="Times New Roman" w:eastAsia="Times New Roman" w:hAnsi="Times New Roman"/>
          <w:color w:val="FF0000"/>
          <w:sz w:val="28"/>
          <w:szCs w:val="28"/>
          <w:bdr w:val="none" w:sz="0" w:space="0" w:color="auto" w:frame="1"/>
        </w:rPr>
      </w:pPr>
      <w:r>
        <w:rPr>
          <w:rFonts w:ascii="Times New Roman" w:eastAsia="Times New Roman" w:hAnsi="Times New Roman"/>
          <w:noProof/>
          <w:color w:val="FF0000"/>
          <w:sz w:val="28"/>
          <w:szCs w:val="28"/>
          <w:bdr w:val="none" w:sz="0" w:space="0" w:color="auto" w:frame="1"/>
          <w:lang w:val="en-IN" w:eastAsia="en-IN"/>
        </w:rPr>
        <w:lastRenderedPageBreak/>
        <w:drawing>
          <wp:inline distT="0" distB="0" distL="0" distR="0">
            <wp:extent cx="5732145" cy="4302691"/>
            <wp:effectExtent l="19050" t="0" r="1905" b="0"/>
            <wp:docPr id="9" name="Picture 9" descr="C:\Users\Netra\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etra\Desktop\3.jpg"/>
                    <pic:cNvPicPr>
                      <a:picLocks noChangeAspect="1" noChangeArrowheads="1"/>
                    </pic:cNvPicPr>
                  </pic:nvPicPr>
                  <pic:blipFill>
                    <a:blip r:embed="rId11"/>
                    <a:srcRect/>
                    <a:stretch>
                      <a:fillRect/>
                    </a:stretch>
                  </pic:blipFill>
                  <pic:spPr bwMode="auto">
                    <a:xfrm>
                      <a:off x="0" y="0"/>
                      <a:ext cx="5732145" cy="4302691"/>
                    </a:xfrm>
                    <a:prstGeom prst="rect">
                      <a:avLst/>
                    </a:prstGeom>
                    <a:noFill/>
                    <a:ln w="9525">
                      <a:noFill/>
                      <a:miter lim="800000"/>
                      <a:headEnd/>
                      <a:tailEnd/>
                    </a:ln>
                  </pic:spPr>
                </pic:pic>
              </a:graphicData>
            </a:graphic>
          </wp:inline>
        </w:drawing>
      </w:r>
      <w:r>
        <w:rPr>
          <w:rFonts w:ascii="Times New Roman" w:eastAsia="Times New Roman" w:hAnsi="Times New Roman"/>
          <w:color w:val="FF0000"/>
          <w:sz w:val="28"/>
          <w:szCs w:val="28"/>
          <w:bdr w:val="none" w:sz="0" w:space="0" w:color="auto" w:frame="1"/>
        </w:rPr>
        <w:br w:type="textWrapping" w:clear="all"/>
      </w:r>
      <w:r>
        <w:t xml:space="preserve">   </w:t>
      </w:r>
      <w:r w:rsidR="00091DFD">
        <w:t>Figure 3 :</w:t>
      </w:r>
      <w:r>
        <w:t xml:space="preserve">  </w:t>
      </w:r>
      <w:r w:rsidR="00FF57EE">
        <w:t>Immunohistochemistry showing triple negativity ( ER,PR,Her2neu negative</w:t>
      </w:r>
      <w:r>
        <w:t xml:space="preserve">  ) in fig H,I,J respectively and fig K</w:t>
      </w:r>
      <w:r w:rsidR="00FF57EE">
        <w:t xml:space="preserve"> showing </w:t>
      </w:r>
      <w:r>
        <w:t>ER positivity in one of the typical MBC</w:t>
      </w:r>
      <w:r w:rsidR="00FF57EE">
        <w:t>.</w:t>
      </w:r>
    </w:p>
    <w:p w:rsidR="0061773C" w:rsidRPr="00B00480" w:rsidRDefault="0061773C" w:rsidP="0061773C">
      <w:pPr>
        <w:rPr>
          <w:b/>
          <w:sz w:val="28"/>
          <w:szCs w:val="28"/>
        </w:rPr>
      </w:pPr>
      <w:r w:rsidRPr="00B00480">
        <w:rPr>
          <w:rFonts w:ascii="Times New Roman" w:eastAsia="Times New Roman" w:hAnsi="Times New Roman"/>
          <w:color w:val="FF0000"/>
          <w:sz w:val="28"/>
          <w:szCs w:val="28"/>
          <w:bdr w:val="none" w:sz="0" w:space="0" w:color="auto" w:frame="1"/>
        </w:rPr>
        <w:br w:type="page"/>
      </w:r>
      <w:commentRangeStart w:id="11"/>
      <w:r w:rsidRPr="00B00480">
        <w:rPr>
          <w:rFonts w:ascii="Times New Roman" w:eastAsia="Times New Roman" w:hAnsi="Times New Roman"/>
          <w:b/>
          <w:sz w:val="28"/>
          <w:szCs w:val="28"/>
          <w:bdr w:val="none" w:sz="0" w:space="0" w:color="auto" w:frame="1"/>
        </w:rPr>
        <w:lastRenderedPageBreak/>
        <w:t>TABLES</w:t>
      </w:r>
      <w:commentRangeEnd w:id="11"/>
      <w:r w:rsidRPr="00B00480">
        <w:rPr>
          <w:rStyle w:val="CommentReference"/>
          <w:sz w:val="28"/>
          <w:szCs w:val="28"/>
        </w:rPr>
        <w:commentReference w:id="11"/>
      </w:r>
      <w:r w:rsidRPr="00B00480">
        <w:rPr>
          <w:rFonts w:ascii="Times New Roman" w:eastAsia="Times New Roman" w:hAnsi="Times New Roman"/>
          <w:b/>
          <w:sz w:val="28"/>
          <w:szCs w:val="28"/>
          <w:bdr w:val="none" w:sz="0" w:space="0" w:color="auto" w:frame="1"/>
        </w:rPr>
        <w:t xml:space="preserve">: </w:t>
      </w:r>
    </w:p>
    <w:p w:rsidR="00975FC2" w:rsidRDefault="00975FC2" w:rsidP="00975FC2">
      <w:pPr>
        <w:rPr>
          <w:sz w:val="28"/>
          <w:szCs w:val="28"/>
        </w:rPr>
      </w:pPr>
      <w:r w:rsidRPr="002815D3">
        <w:rPr>
          <w:b/>
          <w:sz w:val="28"/>
          <w:szCs w:val="28"/>
          <w:u w:val="single"/>
        </w:rPr>
        <w:t>TABLE 1</w:t>
      </w:r>
      <w:r w:rsidRPr="00A17DF1">
        <w:rPr>
          <w:b/>
          <w:sz w:val="28"/>
          <w:szCs w:val="28"/>
        </w:rPr>
        <w:t xml:space="preserve"> :</w:t>
      </w:r>
      <w:r>
        <w:rPr>
          <w:sz w:val="28"/>
          <w:szCs w:val="28"/>
        </w:rPr>
        <w:t xml:space="preserve"> </w:t>
      </w:r>
      <w:r w:rsidRPr="00821CEC">
        <w:rPr>
          <w:b/>
          <w:sz w:val="28"/>
          <w:szCs w:val="28"/>
        </w:rPr>
        <w:t>AGE DISTRIBUTION OF TYPICAL AND ATYPICAL MEDULLARY CARCINOMA</w:t>
      </w:r>
    </w:p>
    <w:tbl>
      <w:tblPr>
        <w:tblStyle w:val="TableGrid"/>
        <w:tblpPr w:leftFromText="180" w:rightFromText="180" w:vertAnchor="text" w:tblpY="155"/>
        <w:tblW w:w="0" w:type="auto"/>
        <w:tblLook w:val="04A0"/>
      </w:tblPr>
      <w:tblGrid>
        <w:gridCol w:w="3080"/>
        <w:gridCol w:w="3081"/>
        <w:gridCol w:w="3081"/>
      </w:tblGrid>
      <w:tr w:rsidR="00975FC2" w:rsidTr="00F6762D">
        <w:tc>
          <w:tcPr>
            <w:tcW w:w="3080" w:type="dxa"/>
          </w:tcPr>
          <w:p w:rsidR="00975FC2" w:rsidRDefault="00975FC2" w:rsidP="00F6762D">
            <w:pPr>
              <w:rPr>
                <w:sz w:val="28"/>
                <w:szCs w:val="28"/>
              </w:rPr>
            </w:pPr>
            <w:r>
              <w:rPr>
                <w:sz w:val="28"/>
                <w:szCs w:val="28"/>
              </w:rPr>
              <w:t>AGE</w:t>
            </w:r>
          </w:p>
        </w:tc>
        <w:tc>
          <w:tcPr>
            <w:tcW w:w="3081" w:type="dxa"/>
          </w:tcPr>
          <w:p w:rsidR="00975FC2" w:rsidRDefault="00975FC2" w:rsidP="00F6762D">
            <w:pPr>
              <w:rPr>
                <w:sz w:val="28"/>
                <w:szCs w:val="28"/>
              </w:rPr>
            </w:pPr>
            <w:r>
              <w:rPr>
                <w:sz w:val="28"/>
                <w:szCs w:val="28"/>
              </w:rPr>
              <w:t>Typical MBC</w:t>
            </w:r>
          </w:p>
        </w:tc>
        <w:tc>
          <w:tcPr>
            <w:tcW w:w="3081" w:type="dxa"/>
          </w:tcPr>
          <w:p w:rsidR="00975FC2" w:rsidRDefault="00975FC2" w:rsidP="00F6762D">
            <w:pPr>
              <w:rPr>
                <w:sz w:val="28"/>
                <w:szCs w:val="28"/>
              </w:rPr>
            </w:pPr>
            <w:r>
              <w:rPr>
                <w:sz w:val="28"/>
                <w:szCs w:val="28"/>
              </w:rPr>
              <w:t>Atypical MBC</w:t>
            </w:r>
          </w:p>
        </w:tc>
      </w:tr>
      <w:tr w:rsidR="00975FC2" w:rsidTr="00F6762D">
        <w:tc>
          <w:tcPr>
            <w:tcW w:w="3080" w:type="dxa"/>
          </w:tcPr>
          <w:p w:rsidR="00975FC2" w:rsidRDefault="00975FC2" w:rsidP="00F6762D">
            <w:pPr>
              <w:rPr>
                <w:sz w:val="28"/>
                <w:szCs w:val="28"/>
              </w:rPr>
            </w:pPr>
            <w:r>
              <w:rPr>
                <w:sz w:val="28"/>
                <w:szCs w:val="28"/>
              </w:rPr>
              <w:t>30-39 Yrs</w:t>
            </w:r>
          </w:p>
        </w:tc>
        <w:tc>
          <w:tcPr>
            <w:tcW w:w="3081" w:type="dxa"/>
          </w:tcPr>
          <w:p w:rsidR="00975FC2" w:rsidRDefault="00975FC2" w:rsidP="00F6762D">
            <w:pPr>
              <w:rPr>
                <w:sz w:val="28"/>
                <w:szCs w:val="28"/>
              </w:rPr>
            </w:pPr>
            <w:r>
              <w:rPr>
                <w:sz w:val="28"/>
                <w:szCs w:val="28"/>
              </w:rPr>
              <w:t>1</w:t>
            </w:r>
          </w:p>
        </w:tc>
        <w:tc>
          <w:tcPr>
            <w:tcW w:w="3081" w:type="dxa"/>
          </w:tcPr>
          <w:p w:rsidR="00975FC2" w:rsidRDefault="00975FC2" w:rsidP="00F6762D">
            <w:pPr>
              <w:rPr>
                <w:sz w:val="28"/>
                <w:szCs w:val="28"/>
              </w:rPr>
            </w:pPr>
            <w:r>
              <w:rPr>
                <w:sz w:val="28"/>
                <w:szCs w:val="28"/>
              </w:rPr>
              <w:t>0</w:t>
            </w:r>
          </w:p>
        </w:tc>
      </w:tr>
      <w:tr w:rsidR="00975FC2" w:rsidTr="00F6762D">
        <w:tc>
          <w:tcPr>
            <w:tcW w:w="3080" w:type="dxa"/>
          </w:tcPr>
          <w:p w:rsidR="00975FC2" w:rsidRDefault="00975FC2" w:rsidP="00F6762D">
            <w:pPr>
              <w:rPr>
                <w:sz w:val="28"/>
                <w:szCs w:val="28"/>
              </w:rPr>
            </w:pPr>
            <w:r>
              <w:rPr>
                <w:sz w:val="28"/>
                <w:szCs w:val="28"/>
              </w:rPr>
              <w:t>40-49 Yrs</w:t>
            </w:r>
          </w:p>
        </w:tc>
        <w:tc>
          <w:tcPr>
            <w:tcW w:w="3081" w:type="dxa"/>
          </w:tcPr>
          <w:p w:rsidR="00975FC2" w:rsidRDefault="00975FC2" w:rsidP="00F6762D">
            <w:pPr>
              <w:rPr>
                <w:sz w:val="28"/>
                <w:szCs w:val="28"/>
              </w:rPr>
            </w:pPr>
            <w:r>
              <w:rPr>
                <w:sz w:val="28"/>
                <w:szCs w:val="28"/>
              </w:rPr>
              <w:t>6</w:t>
            </w:r>
          </w:p>
        </w:tc>
        <w:tc>
          <w:tcPr>
            <w:tcW w:w="3081" w:type="dxa"/>
          </w:tcPr>
          <w:p w:rsidR="00975FC2" w:rsidRDefault="00975FC2" w:rsidP="00F6762D">
            <w:pPr>
              <w:rPr>
                <w:sz w:val="28"/>
                <w:szCs w:val="28"/>
              </w:rPr>
            </w:pPr>
            <w:r>
              <w:rPr>
                <w:sz w:val="28"/>
                <w:szCs w:val="28"/>
              </w:rPr>
              <w:t>0</w:t>
            </w:r>
          </w:p>
        </w:tc>
      </w:tr>
      <w:tr w:rsidR="00975FC2" w:rsidTr="00F6762D">
        <w:tc>
          <w:tcPr>
            <w:tcW w:w="3080" w:type="dxa"/>
          </w:tcPr>
          <w:p w:rsidR="00975FC2" w:rsidRDefault="00975FC2" w:rsidP="00F6762D">
            <w:pPr>
              <w:rPr>
                <w:sz w:val="28"/>
                <w:szCs w:val="28"/>
              </w:rPr>
            </w:pPr>
            <w:r>
              <w:rPr>
                <w:sz w:val="28"/>
                <w:szCs w:val="28"/>
              </w:rPr>
              <w:t>50-59 Yrs</w:t>
            </w:r>
          </w:p>
        </w:tc>
        <w:tc>
          <w:tcPr>
            <w:tcW w:w="3081" w:type="dxa"/>
          </w:tcPr>
          <w:p w:rsidR="00975FC2" w:rsidRDefault="00975FC2" w:rsidP="00F6762D">
            <w:pPr>
              <w:rPr>
                <w:sz w:val="28"/>
                <w:szCs w:val="28"/>
              </w:rPr>
            </w:pPr>
            <w:r>
              <w:rPr>
                <w:sz w:val="28"/>
                <w:szCs w:val="28"/>
              </w:rPr>
              <w:t>2</w:t>
            </w:r>
          </w:p>
        </w:tc>
        <w:tc>
          <w:tcPr>
            <w:tcW w:w="3081" w:type="dxa"/>
          </w:tcPr>
          <w:p w:rsidR="00975FC2" w:rsidRDefault="00975FC2" w:rsidP="00F6762D">
            <w:pPr>
              <w:rPr>
                <w:sz w:val="28"/>
                <w:szCs w:val="28"/>
              </w:rPr>
            </w:pPr>
            <w:r>
              <w:rPr>
                <w:sz w:val="28"/>
                <w:szCs w:val="28"/>
              </w:rPr>
              <w:t>1</w:t>
            </w:r>
          </w:p>
        </w:tc>
      </w:tr>
      <w:tr w:rsidR="00975FC2" w:rsidTr="00F6762D">
        <w:tc>
          <w:tcPr>
            <w:tcW w:w="3080" w:type="dxa"/>
          </w:tcPr>
          <w:p w:rsidR="00975FC2" w:rsidRDefault="00975FC2" w:rsidP="00F6762D">
            <w:pPr>
              <w:rPr>
                <w:sz w:val="28"/>
                <w:szCs w:val="28"/>
              </w:rPr>
            </w:pPr>
            <w:r>
              <w:rPr>
                <w:sz w:val="28"/>
                <w:szCs w:val="28"/>
              </w:rPr>
              <w:t>60-69 Yrs</w:t>
            </w:r>
          </w:p>
        </w:tc>
        <w:tc>
          <w:tcPr>
            <w:tcW w:w="3081" w:type="dxa"/>
          </w:tcPr>
          <w:p w:rsidR="00975FC2" w:rsidRDefault="00975FC2" w:rsidP="00F6762D">
            <w:pPr>
              <w:rPr>
                <w:sz w:val="28"/>
                <w:szCs w:val="28"/>
              </w:rPr>
            </w:pPr>
            <w:r>
              <w:rPr>
                <w:sz w:val="28"/>
                <w:szCs w:val="28"/>
              </w:rPr>
              <w:t>1</w:t>
            </w:r>
          </w:p>
        </w:tc>
        <w:tc>
          <w:tcPr>
            <w:tcW w:w="3081" w:type="dxa"/>
          </w:tcPr>
          <w:p w:rsidR="00975FC2" w:rsidRDefault="00975FC2" w:rsidP="00F6762D">
            <w:pPr>
              <w:rPr>
                <w:sz w:val="28"/>
                <w:szCs w:val="28"/>
              </w:rPr>
            </w:pPr>
            <w:r>
              <w:rPr>
                <w:sz w:val="28"/>
                <w:szCs w:val="28"/>
              </w:rPr>
              <w:t>1</w:t>
            </w:r>
          </w:p>
        </w:tc>
      </w:tr>
    </w:tbl>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975FC2">
      <w:pPr>
        <w:rPr>
          <w:b/>
          <w:sz w:val="28"/>
          <w:szCs w:val="28"/>
          <w:u w:val="single"/>
        </w:rPr>
      </w:pPr>
    </w:p>
    <w:p w:rsidR="00975FC2" w:rsidRDefault="00975FC2" w:rsidP="00DF2680">
      <w:pPr>
        <w:pStyle w:val="NoSpacing"/>
      </w:pPr>
    </w:p>
    <w:p w:rsidR="00975FC2" w:rsidRPr="00DF2680" w:rsidRDefault="00975FC2" w:rsidP="00DF2680">
      <w:pPr>
        <w:pStyle w:val="NoSpacing"/>
        <w:rPr>
          <w:b/>
          <w:sz w:val="28"/>
          <w:szCs w:val="28"/>
        </w:rPr>
      </w:pPr>
      <w:r w:rsidRPr="00DF2680">
        <w:rPr>
          <w:b/>
          <w:sz w:val="28"/>
          <w:szCs w:val="28"/>
        </w:rPr>
        <w:lastRenderedPageBreak/>
        <w:t>Table 2 : CLINICAL AND GROSS FEATURES OF TYPICAL AND ATYPICALR MEDULLARY CARCINOMA</w:t>
      </w:r>
    </w:p>
    <w:p w:rsidR="00975FC2" w:rsidRDefault="00975FC2" w:rsidP="00975FC2">
      <w:pPr>
        <w:rPr>
          <w:b/>
          <w:sz w:val="28"/>
          <w:szCs w:val="28"/>
          <w:u w:val="single"/>
        </w:rPr>
      </w:pPr>
    </w:p>
    <w:tbl>
      <w:tblPr>
        <w:tblStyle w:val="TableGrid"/>
        <w:tblpPr w:leftFromText="180" w:rightFromText="180" w:vertAnchor="page" w:horzAnchor="margin" w:tblpY="2707"/>
        <w:tblW w:w="8356" w:type="dxa"/>
        <w:tblLook w:val="04A0"/>
      </w:tblPr>
      <w:tblGrid>
        <w:gridCol w:w="1446"/>
        <w:gridCol w:w="1116"/>
        <w:gridCol w:w="1195"/>
        <w:gridCol w:w="1273"/>
        <w:gridCol w:w="1691"/>
        <w:gridCol w:w="1635"/>
      </w:tblGrid>
      <w:tr w:rsidR="00DF2680" w:rsidRPr="004E6FF7" w:rsidTr="00DF2680">
        <w:trPr>
          <w:trHeight w:val="589"/>
        </w:trPr>
        <w:tc>
          <w:tcPr>
            <w:tcW w:w="1446" w:type="dxa"/>
          </w:tcPr>
          <w:p w:rsidR="00DF2680" w:rsidRPr="004E6FF7" w:rsidRDefault="00DF2680" w:rsidP="00DF2680">
            <w:pPr>
              <w:pStyle w:val="NoSpacing"/>
            </w:pPr>
          </w:p>
        </w:tc>
        <w:tc>
          <w:tcPr>
            <w:tcW w:w="1116" w:type="dxa"/>
          </w:tcPr>
          <w:p w:rsidR="00DF2680" w:rsidRPr="00837B9E" w:rsidRDefault="00DF2680" w:rsidP="00DF2680">
            <w:pPr>
              <w:pStyle w:val="NoSpacing"/>
            </w:pPr>
            <w:r w:rsidRPr="00837B9E">
              <w:t>AGE</w:t>
            </w:r>
          </w:p>
        </w:tc>
        <w:tc>
          <w:tcPr>
            <w:tcW w:w="1195" w:type="dxa"/>
          </w:tcPr>
          <w:p w:rsidR="00DF2680" w:rsidRPr="00837B9E" w:rsidRDefault="00DF2680" w:rsidP="00DF2680">
            <w:pPr>
              <w:pStyle w:val="NoSpacing"/>
            </w:pPr>
            <w:r w:rsidRPr="00837B9E">
              <w:t>Type</w:t>
            </w:r>
            <w:r>
              <w:t xml:space="preserve"> of</w:t>
            </w:r>
            <w:r w:rsidRPr="00837B9E">
              <w:t xml:space="preserve"> </w:t>
            </w:r>
          </w:p>
          <w:p w:rsidR="00DF2680" w:rsidRPr="00837B9E" w:rsidRDefault="00DF2680" w:rsidP="00DF2680">
            <w:pPr>
              <w:pStyle w:val="NoSpacing"/>
            </w:pPr>
            <w:r w:rsidRPr="00837B9E">
              <w:t>Surg</w:t>
            </w:r>
            <w:r>
              <w:t>ery</w:t>
            </w:r>
          </w:p>
        </w:tc>
        <w:tc>
          <w:tcPr>
            <w:tcW w:w="1273" w:type="dxa"/>
          </w:tcPr>
          <w:p w:rsidR="00DF2680" w:rsidRPr="00837B9E" w:rsidRDefault="00DF2680" w:rsidP="00DF2680">
            <w:pPr>
              <w:pStyle w:val="NoSpacing"/>
            </w:pPr>
            <w:r w:rsidRPr="00837B9E">
              <w:t>SIDE</w:t>
            </w:r>
          </w:p>
          <w:p w:rsidR="00DF2680" w:rsidRPr="00837B9E" w:rsidRDefault="00DF2680" w:rsidP="00DF2680">
            <w:pPr>
              <w:pStyle w:val="NoSpacing"/>
            </w:pPr>
            <w:r w:rsidRPr="00837B9E">
              <w:t>QUAD</w:t>
            </w:r>
          </w:p>
        </w:tc>
        <w:tc>
          <w:tcPr>
            <w:tcW w:w="1691" w:type="dxa"/>
          </w:tcPr>
          <w:p w:rsidR="00DF2680" w:rsidRPr="00837B9E" w:rsidRDefault="00DF2680" w:rsidP="00DF2680">
            <w:pPr>
              <w:pStyle w:val="NoSpacing"/>
            </w:pPr>
            <w:r w:rsidRPr="00837B9E">
              <w:t>SIZE</w:t>
            </w:r>
          </w:p>
        </w:tc>
        <w:tc>
          <w:tcPr>
            <w:tcW w:w="1635" w:type="dxa"/>
          </w:tcPr>
          <w:p w:rsidR="00DF2680" w:rsidRDefault="00DF2680" w:rsidP="00DF2680">
            <w:pPr>
              <w:pStyle w:val="NoSpacing"/>
            </w:pPr>
            <w:r>
              <w:t>Nipple/</w:t>
            </w:r>
          </w:p>
          <w:p w:rsidR="00DF2680" w:rsidRPr="00837B9E" w:rsidRDefault="00DF2680" w:rsidP="00DF2680">
            <w:pPr>
              <w:pStyle w:val="NoSpacing"/>
            </w:pPr>
            <w:r>
              <w:t xml:space="preserve">Areola </w:t>
            </w:r>
          </w:p>
        </w:tc>
      </w:tr>
      <w:tr w:rsidR="00DF2680" w:rsidRPr="004E6FF7" w:rsidTr="00DF2680">
        <w:trPr>
          <w:trHeight w:val="589"/>
        </w:trPr>
        <w:tc>
          <w:tcPr>
            <w:tcW w:w="1446" w:type="dxa"/>
          </w:tcPr>
          <w:p w:rsidR="00DF2680" w:rsidRDefault="00DF2680" w:rsidP="00DF2680">
            <w:pPr>
              <w:pStyle w:val="NoSpacing"/>
            </w:pPr>
            <w:r w:rsidRPr="00837B9E">
              <w:t>Case 1</w:t>
            </w:r>
          </w:p>
          <w:p w:rsidR="00DF2680" w:rsidRPr="00837B9E" w:rsidRDefault="00DF2680" w:rsidP="00DF2680">
            <w:pPr>
              <w:pStyle w:val="NoSpacing"/>
            </w:pPr>
            <w:r>
              <w:t>Typical MBC</w:t>
            </w:r>
          </w:p>
          <w:p w:rsidR="00DF2680" w:rsidRPr="004E6FF7" w:rsidRDefault="00DF2680" w:rsidP="00DF2680">
            <w:pPr>
              <w:pStyle w:val="NoSpacing"/>
            </w:pPr>
          </w:p>
        </w:tc>
        <w:tc>
          <w:tcPr>
            <w:tcW w:w="1116" w:type="dxa"/>
          </w:tcPr>
          <w:p w:rsidR="00DF2680" w:rsidRDefault="00DF2680" w:rsidP="00DF2680">
            <w:pPr>
              <w:pStyle w:val="NoSpacing"/>
            </w:pPr>
            <w:r w:rsidRPr="004E6FF7">
              <w:t>35</w:t>
            </w:r>
          </w:p>
          <w:p w:rsidR="00DF2680" w:rsidRPr="004E6FF7" w:rsidRDefault="00DF2680" w:rsidP="00DF2680">
            <w:pPr>
              <w:pStyle w:val="NoSpacing"/>
            </w:pPr>
          </w:p>
        </w:tc>
        <w:tc>
          <w:tcPr>
            <w:tcW w:w="1195" w:type="dxa"/>
          </w:tcPr>
          <w:p w:rsidR="00DF2680" w:rsidRPr="004E6FF7" w:rsidRDefault="00DF2680" w:rsidP="00DF2680">
            <w:pPr>
              <w:pStyle w:val="NoSpacing"/>
            </w:pPr>
            <w:r>
              <w:t>MRM</w:t>
            </w:r>
          </w:p>
        </w:tc>
        <w:tc>
          <w:tcPr>
            <w:tcW w:w="1273" w:type="dxa"/>
          </w:tcPr>
          <w:p w:rsidR="00DF2680" w:rsidRDefault="00DF2680" w:rsidP="00DF2680">
            <w:pPr>
              <w:pStyle w:val="NoSpacing"/>
            </w:pPr>
            <w:r>
              <w:t xml:space="preserve">Right </w:t>
            </w:r>
          </w:p>
          <w:p w:rsidR="00DF2680" w:rsidRPr="004E6FF7" w:rsidRDefault="00DF2680" w:rsidP="00DF2680">
            <w:pPr>
              <w:pStyle w:val="NoSpacing"/>
            </w:pPr>
            <w:r>
              <w:t>UOQ</w:t>
            </w:r>
          </w:p>
        </w:tc>
        <w:tc>
          <w:tcPr>
            <w:tcW w:w="1691" w:type="dxa"/>
          </w:tcPr>
          <w:p w:rsidR="00DF2680" w:rsidRPr="004E6FF7" w:rsidRDefault="00DF2680" w:rsidP="00DF2680">
            <w:pPr>
              <w:pStyle w:val="NoSpacing"/>
            </w:pPr>
            <w:r>
              <w:t>3X2.4X2</w:t>
            </w:r>
          </w:p>
        </w:tc>
        <w:tc>
          <w:tcPr>
            <w:tcW w:w="1635" w:type="dxa"/>
          </w:tcPr>
          <w:p w:rsidR="00DF2680" w:rsidRPr="004E6FF7" w:rsidRDefault="00DF2680" w:rsidP="00DF2680">
            <w:pPr>
              <w:pStyle w:val="NoSpacing"/>
            </w:pPr>
            <w:r>
              <w:t>2.5-4</w:t>
            </w:r>
          </w:p>
        </w:tc>
      </w:tr>
      <w:tr w:rsidR="00DF2680" w:rsidRPr="004E6FF7" w:rsidTr="00DF2680">
        <w:trPr>
          <w:trHeight w:val="552"/>
        </w:trPr>
        <w:tc>
          <w:tcPr>
            <w:tcW w:w="1446" w:type="dxa"/>
          </w:tcPr>
          <w:p w:rsidR="00DF2680" w:rsidRDefault="00DF2680" w:rsidP="00DF2680">
            <w:pPr>
              <w:pStyle w:val="NoSpacing"/>
            </w:pPr>
            <w:r w:rsidRPr="00EC0E06">
              <w:t>Case 2</w:t>
            </w:r>
          </w:p>
          <w:p w:rsidR="00DF2680" w:rsidRPr="00837B9E" w:rsidRDefault="00DF2680" w:rsidP="00DF2680">
            <w:pPr>
              <w:pStyle w:val="NoSpacing"/>
            </w:pPr>
            <w:r>
              <w:t>Typical MBC</w:t>
            </w:r>
          </w:p>
          <w:p w:rsidR="00DF2680" w:rsidRPr="00EC0E06" w:rsidRDefault="00DF2680" w:rsidP="00DF2680">
            <w:pPr>
              <w:pStyle w:val="NoSpacing"/>
            </w:pPr>
          </w:p>
        </w:tc>
        <w:tc>
          <w:tcPr>
            <w:tcW w:w="1116" w:type="dxa"/>
          </w:tcPr>
          <w:p w:rsidR="00DF2680" w:rsidRPr="00EC0E06" w:rsidRDefault="00DF2680" w:rsidP="00DF2680">
            <w:pPr>
              <w:pStyle w:val="NoSpacing"/>
            </w:pPr>
            <w:r w:rsidRPr="00EC0E06">
              <w:t>58</w:t>
            </w:r>
          </w:p>
          <w:p w:rsidR="00DF2680" w:rsidRPr="00EC0E06" w:rsidRDefault="00DF2680" w:rsidP="00DF2680">
            <w:pPr>
              <w:pStyle w:val="NoSpacing"/>
            </w:pPr>
          </w:p>
        </w:tc>
        <w:tc>
          <w:tcPr>
            <w:tcW w:w="1195" w:type="dxa"/>
          </w:tcPr>
          <w:p w:rsidR="00DF2680" w:rsidRPr="00EC0E06" w:rsidRDefault="00DF2680" w:rsidP="00DF2680">
            <w:pPr>
              <w:pStyle w:val="NoSpacing"/>
            </w:pPr>
            <w:r w:rsidRPr="00EC0E06">
              <w:t>MRM</w:t>
            </w:r>
          </w:p>
        </w:tc>
        <w:tc>
          <w:tcPr>
            <w:tcW w:w="1273" w:type="dxa"/>
          </w:tcPr>
          <w:p w:rsidR="00DF2680" w:rsidRDefault="00DF2680" w:rsidP="00DF2680">
            <w:pPr>
              <w:pStyle w:val="NoSpacing"/>
            </w:pPr>
            <w:r w:rsidRPr="00EC0E06">
              <w:t>Right</w:t>
            </w:r>
          </w:p>
          <w:p w:rsidR="00DF2680" w:rsidRPr="00EC0E06" w:rsidRDefault="00DF2680" w:rsidP="00DF2680">
            <w:pPr>
              <w:pStyle w:val="NoSpacing"/>
            </w:pPr>
            <w:r>
              <w:t>UIQ</w:t>
            </w:r>
          </w:p>
        </w:tc>
        <w:tc>
          <w:tcPr>
            <w:tcW w:w="1691" w:type="dxa"/>
          </w:tcPr>
          <w:p w:rsidR="00DF2680" w:rsidRPr="00EC0E06" w:rsidRDefault="00DF2680" w:rsidP="00DF2680">
            <w:pPr>
              <w:pStyle w:val="NoSpacing"/>
            </w:pPr>
            <w:r w:rsidRPr="00EC0E06">
              <w:t>3X2X2</w:t>
            </w:r>
          </w:p>
        </w:tc>
        <w:tc>
          <w:tcPr>
            <w:tcW w:w="1635" w:type="dxa"/>
          </w:tcPr>
          <w:p w:rsidR="00DF2680" w:rsidRPr="00EC0E06"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t xml:space="preserve">Case-3 </w:t>
            </w:r>
          </w:p>
          <w:p w:rsidR="00DF2680" w:rsidRPr="00837B9E" w:rsidRDefault="00DF2680" w:rsidP="00DF2680">
            <w:pPr>
              <w:pStyle w:val="NoSpacing"/>
            </w:pPr>
            <w:r>
              <w:t>Typical MBC</w:t>
            </w:r>
          </w:p>
          <w:p w:rsidR="00DF2680" w:rsidRPr="00837B9E" w:rsidRDefault="00DF2680" w:rsidP="00DF2680">
            <w:pPr>
              <w:pStyle w:val="NoSpacing"/>
            </w:pPr>
          </w:p>
        </w:tc>
        <w:tc>
          <w:tcPr>
            <w:tcW w:w="1116" w:type="dxa"/>
          </w:tcPr>
          <w:p w:rsidR="00DF2680" w:rsidRPr="004E6FF7" w:rsidRDefault="00DF2680" w:rsidP="00DF2680">
            <w:pPr>
              <w:pStyle w:val="NoSpacing"/>
            </w:pPr>
            <w:r>
              <w:t>64</w:t>
            </w:r>
          </w:p>
        </w:tc>
        <w:tc>
          <w:tcPr>
            <w:tcW w:w="1195" w:type="dxa"/>
          </w:tcPr>
          <w:p w:rsidR="00DF2680" w:rsidRDefault="00DF2680" w:rsidP="00DF2680">
            <w:pPr>
              <w:pStyle w:val="NoSpacing"/>
            </w:pPr>
            <w:r>
              <w:t>MRM</w:t>
            </w:r>
          </w:p>
        </w:tc>
        <w:tc>
          <w:tcPr>
            <w:tcW w:w="1273" w:type="dxa"/>
          </w:tcPr>
          <w:p w:rsidR="00DF2680" w:rsidRPr="004E6FF7" w:rsidRDefault="00DF2680" w:rsidP="00DF2680">
            <w:pPr>
              <w:pStyle w:val="NoSpacing"/>
            </w:pPr>
            <w:r>
              <w:t>Right central Q</w:t>
            </w:r>
          </w:p>
        </w:tc>
        <w:tc>
          <w:tcPr>
            <w:tcW w:w="1691" w:type="dxa"/>
          </w:tcPr>
          <w:p w:rsidR="00DF2680" w:rsidRDefault="00DF2680" w:rsidP="00DF2680">
            <w:pPr>
              <w:pStyle w:val="NoSpacing"/>
            </w:pPr>
            <w:r>
              <w:t>4x3x2</w:t>
            </w:r>
          </w:p>
        </w:tc>
        <w:tc>
          <w:tcPr>
            <w:tcW w:w="1635" w:type="dxa"/>
          </w:tcPr>
          <w:p w:rsidR="00DF2680" w:rsidRDefault="00DF2680" w:rsidP="00DF2680">
            <w:pPr>
              <w:pStyle w:val="NoSpacing"/>
            </w:pPr>
            <w:r>
              <w:t>Ulcer-areola,cystic foci</w:t>
            </w:r>
          </w:p>
        </w:tc>
      </w:tr>
      <w:tr w:rsidR="00DF2680" w:rsidRPr="004E6FF7" w:rsidTr="00DF2680">
        <w:trPr>
          <w:trHeight w:val="589"/>
        </w:trPr>
        <w:tc>
          <w:tcPr>
            <w:tcW w:w="1446" w:type="dxa"/>
          </w:tcPr>
          <w:p w:rsidR="00DF2680" w:rsidRDefault="00DF2680" w:rsidP="00DF2680">
            <w:pPr>
              <w:pStyle w:val="NoSpacing"/>
            </w:pPr>
            <w:r w:rsidRPr="00837B9E">
              <w:t>Case 4</w:t>
            </w:r>
          </w:p>
          <w:p w:rsidR="00DF2680" w:rsidRPr="00837B9E" w:rsidRDefault="00DF2680" w:rsidP="00DF2680">
            <w:pPr>
              <w:pStyle w:val="NoSpacing"/>
            </w:pPr>
            <w:r>
              <w:t>Typical MBC</w:t>
            </w:r>
          </w:p>
          <w:p w:rsidR="00DF2680" w:rsidRPr="004E6FF7" w:rsidRDefault="00DF2680" w:rsidP="00DF2680">
            <w:pPr>
              <w:pStyle w:val="NoSpacing"/>
            </w:pPr>
          </w:p>
        </w:tc>
        <w:tc>
          <w:tcPr>
            <w:tcW w:w="1116" w:type="dxa"/>
          </w:tcPr>
          <w:p w:rsidR="00DF2680" w:rsidRDefault="00DF2680" w:rsidP="00DF2680">
            <w:pPr>
              <w:pStyle w:val="NoSpacing"/>
            </w:pPr>
            <w:r w:rsidRPr="004E6FF7">
              <w:t>47</w:t>
            </w:r>
          </w:p>
          <w:p w:rsidR="00DF2680" w:rsidRPr="004E6FF7" w:rsidRDefault="00DF2680" w:rsidP="00DF2680">
            <w:pPr>
              <w:pStyle w:val="NoSpacing"/>
            </w:pPr>
          </w:p>
        </w:tc>
        <w:tc>
          <w:tcPr>
            <w:tcW w:w="1195" w:type="dxa"/>
          </w:tcPr>
          <w:p w:rsidR="00DF2680" w:rsidRPr="004E6FF7" w:rsidRDefault="00DF2680" w:rsidP="00DF2680">
            <w:pPr>
              <w:pStyle w:val="NoSpacing"/>
            </w:pPr>
            <w:r>
              <w:t>MRM</w:t>
            </w:r>
          </w:p>
        </w:tc>
        <w:tc>
          <w:tcPr>
            <w:tcW w:w="1273" w:type="dxa"/>
          </w:tcPr>
          <w:p w:rsidR="00DF2680" w:rsidRPr="004E6FF7" w:rsidRDefault="00DF2680" w:rsidP="00DF2680">
            <w:pPr>
              <w:pStyle w:val="NoSpacing"/>
            </w:pPr>
            <w:r w:rsidRPr="004E6FF7">
              <w:t>L</w:t>
            </w:r>
            <w:r>
              <w:t>eft</w:t>
            </w:r>
          </w:p>
          <w:p w:rsidR="00DF2680" w:rsidRPr="004E6FF7" w:rsidRDefault="00DF2680" w:rsidP="00DF2680">
            <w:pPr>
              <w:pStyle w:val="NoSpacing"/>
            </w:pPr>
            <w:r w:rsidRPr="004E6FF7">
              <w:t>LOQ</w:t>
            </w:r>
          </w:p>
        </w:tc>
        <w:tc>
          <w:tcPr>
            <w:tcW w:w="1691" w:type="dxa"/>
          </w:tcPr>
          <w:p w:rsidR="00DF2680" w:rsidRPr="004E6FF7" w:rsidRDefault="00DF2680" w:rsidP="00DF2680">
            <w:pPr>
              <w:pStyle w:val="NoSpacing"/>
            </w:pPr>
            <w:r>
              <w:t>3X2.5x2</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37B9E">
              <w:t>Case 5</w:t>
            </w:r>
          </w:p>
          <w:p w:rsidR="00DF2680" w:rsidRPr="00837B9E" w:rsidRDefault="00DF2680" w:rsidP="00DF2680">
            <w:pPr>
              <w:pStyle w:val="NoSpacing"/>
            </w:pPr>
            <w:r>
              <w:t>Typical MBC</w:t>
            </w:r>
          </w:p>
          <w:p w:rsidR="00DF2680" w:rsidRPr="004E6FF7" w:rsidRDefault="00DF2680" w:rsidP="00DF2680">
            <w:pPr>
              <w:pStyle w:val="NoSpacing"/>
            </w:pPr>
          </w:p>
        </w:tc>
        <w:tc>
          <w:tcPr>
            <w:tcW w:w="1116" w:type="dxa"/>
          </w:tcPr>
          <w:p w:rsidR="00DF2680" w:rsidRDefault="00DF2680" w:rsidP="00DF2680">
            <w:pPr>
              <w:pStyle w:val="NoSpacing"/>
            </w:pPr>
            <w:r w:rsidRPr="004E6FF7">
              <w:t>40</w:t>
            </w:r>
          </w:p>
          <w:p w:rsidR="00DF2680" w:rsidRPr="004E6FF7" w:rsidRDefault="00DF2680" w:rsidP="00DF2680">
            <w:pPr>
              <w:pStyle w:val="NoSpacing"/>
            </w:pPr>
          </w:p>
        </w:tc>
        <w:tc>
          <w:tcPr>
            <w:tcW w:w="1195" w:type="dxa"/>
          </w:tcPr>
          <w:p w:rsidR="00DF2680" w:rsidRPr="004E6FF7" w:rsidRDefault="00DF2680" w:rsidP="00DF2680">
            <w:pPr>
              <w:pStyle w:val="NoSpacing"/>
            </w:pPr>
            <w:r w:rsidRPr="004E6FF7">
              <w:t>MRM</w:t>
            </w:r>
          </w:p>
        </w:tc>
        <w:tc>
          <w:tcPr>
            <w:tcW w:w="1273" w:type="dxa"/>
          </w:tcPr>
          <w:p w:rsidR="00DF2680" w:rsidRPr="004E6FF7" w:rsidRDefault="00DF2680" w:rsidP="00DF2680">
            <w:pPr>
              <w:pStyle w:val="NoSpacing"/>
            </w:pPr>
            <w:r w:rsidRPr="004E6FF7">
              <w:t>L</w:t>
            </w:r>
            <w:r>
              <w:t>eft</w:t>
            </w:r>
          </w:p>
          <w:p w:rsidR="00DF2680" w:rsidRPr="004E6FF7" w:rsidRDefault="00DF2680" w:rsidP="00DF2680">
            <w:pPr>
              <w:pStyle w:val="NoSpacing"/>
            </w:pPr>
            <w:r w:rsidRPr="004E6FF7">
              <w:t>LOQ</w:t>
            </w:r>
          </w:p>
        </w:tc>
        <w:tc>
          <w:tcPr>
            <w:tcW w:w="1691" w:type="dxa"/>
          </w:tcPr>
          <w:p w:rsidR="00DF2680" w:rsidRPr="004E6FF7" w:rsidRDefault="00DF2680" w:rsidP="00DF2680">
            <w:pPr>
              <w:pStyle w:val="NoSpacing"/>
            </w:pPr>
            <w:r>
              <w:t>6x5x3</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t>Case 6</w:t>
            </w:r>
          </w:p>
          <w:p w:rsidR="00DF2680" w:rsidRPr="00837B9E" w:rsidRDefault="00DF2680" w:rsidP="00DF2680">
            <w:pPr>
              <w:pStyle w:val="NoSpacing"/>
            </w:pPr>
            <w:r>
              <w:t>Typical MBC</w:t>
            </w:r>
          </w:p>
          <w:p w:rsidR="00DF2680" w:rsidRPr="00837B9E" w:rsidRDefault="00DF2680" w:rsidP="00DF2680">
            <w:pPr>
              <w:pStyle w:val="NoSpacing"/>
            </w:pPr>
          </w:p>
        </w:tc>
        <w:tc>
          <w:tcPr>
            <w:tcW w:w="1116" w:type="dxa"/>
          </w:tcPr>
          <w:p w:rsidR="00DF2680" w:rsidRPr="004E6FF7" w:rsidRDefault="00DF2680" w:rsidP="00DF2680">
            <w:pPr>
              <w:pStyle w:val="NoSpacing"/>
            </w:pPr>
            <w:r>
              <w:t>45</w:t>
            </w:r>
          </w:p>
        </w:tc>
        <w:tc>
          <w:tcPr>
            <w:tcW w:w="1195" w:type="dxa"/>
          </w:tcPr>
          <w:p w:rsidR="00DF2680" w:rsidRDefault="00DF2680" w:rsidP="00DF2680">
            <w:pPr>
              <w:pStyle w:val="NoSpacing"/>
            </w:pPr>
            <w:r>
              <w:t>MRM</w:t>
            </w:r>
          </w:p>
        </w:tc>
        <w:tc>
          <w:tcPr>
            <w:tcW w:w="1273" w:type="dxa"/>
          </w:tcPr>
          <w:p w:rsidR="00DF2680" w:rsidRPr="004E6FF7" w:rsidRDefault="00DF2680" w:rsidP="00DF2680">
            <w:pPr>
              <w:pStyle w:val="NoSpacing"/>
            </w:pPr>
            <w:r>
              <w:t>Right UIQ</w:t>
            </w:r>
          </w:p>
        </w:tc>
        <w:tc>
          <w:tcPr>
            <w:tcW w:w="1691" w:type="dxa"/>
          </w:tcPr>
          <w:p w:rsidR="00DF2680" w:rsidRPr="004E6FF7" w:rsidRDefault="00DF2680" w:rsidP="00DF2680">
            <w:pPr>
              <w:pStyle w:val="NoSpacing"/>
            </w:pPr>
            <w:r>
              <w:t>4x3x3</w:t>
            </w:r>
          </w:p>
        </w:tc>
        <w:tc>
          <w:tcPr>
            <w:tcW w:w="1635" w:type="dxa"/>
          </w:tcPr>
          <w:p w:rsidR="00DF2680" w:rsidRDefault="00DF2680" w:rsidP="00DF2680">
            <w:pPr>
              <w:pStyle w:val="NoSpacing"/>
            </w:pPr>
            <w:r>
              <w:t xml:space="preserve">No </w:t>
            </w:r>
          </w:p>
        </w:tc>
      </w:tr>
      <w:tr w:rsidR="00DF2680" w:rsidRPr="004E6FF7" w:rsidTr="00DF2680">
        <w:trPr>
          <w:trHeight w:val="589"/>
        </w:trPr>
        <w:tc>
          <w:tcPr>
            <w:tcW w:w="1446" w:type="dxa"/>
          </w:tcPr>
          <w:p w:rsidR="00DF2680" w:rsidRPr="00837B9E" w:rsidRDefault="00DF2680" w:rsidP="00DF2680">
            <w:pPr>
              <w:pStyle w:val="NoSpacing"/>
            </w:pPr>
            <w:r w:rsidRPr="00837B9E">
              <w:t>Case 7</w:t>
            </w:r>
          </w:p>
          <w:p w:rsidR="00DF2680" w:rsidRPr="00837B9E" w:rsidRDefault="00DF2680" w:rsidP="00DF2680">
            <w:pPr>
              <w:pStyle w:val="NoSpacing"/>
            </w:pPr>
            <w:r>
              <w:t>Typical MBC</w:t>
            </w:r>
          </w:p>
          <w:p w:rsidR="00DF2680" w:rsidRPr="004E6FF7" w:rsidRDefault="00DF2680" w:rsidP="00DF2680">
            <w:pPr>
              <w:pStyle w:val="NoSpacing"/>
            </w:pPr>
          </w:p>
        </w:tc>
        <w:tc>
          <w:tcPr>
            <w:tcW w:w="1116" w:type="dxa"/>
          </w:tcPr>
          <w:p w:rsidR="00DF2680" w:rsidRDefault="00DF2680" w:rsidP="00DF2680">
            <w:pPr>
              <w:pStyle w:val="NoSpacing"/>
            </w:pPr>
            <w:r w:rsidRPr="004E6FF7">
              <w:t>42</w:t>
            </w:r>
          </w:p>
          <w:p w:rsidR="00DF2680" w:rsidRPr="004E6FF7" w:rsidRDefault="00DF2680" w:rsidP="00DF2680">
            <w:pPr>
              <w:pStyle w:val="NoSpacing"/>
            </w:pPr>
          </w:p>
        </w:tc>
        <w:tc>
          <w:tcPr>
            <w:tcW w:w="1195" w:type="dxa"/>
          </w:tcPr>
          <w:p w:rsidR="00DF2680" w:rsidRPr="004E6FF7" w:rsidRDefault="00DF2680" w:rsidP="00DF2680">
            <w:pPr>
              <w:pStyle w:val="NoSpacing"/>
            </w:pPr>
            <w:r>
              <w:t>MRM</w:t>
            </w:r>
          </w:p>
        </w:tc>
        <w:tc>
          <w:tcPr>
            <w:tcW w:w="1273" w:type="dxa"/>
          </w:tcPr>
          <w:p w:rsidR="00DF2680" w:rsidRPr="004E6FF7" w:rsidRDefault="00DF2680" w:rsidP="00DF2680">
            <w:pPr>
              <w:pStyle w:val="NoSpacing"/>
            </w:pPr>
            <w:r w:rsidRPr="004E6FF7">
              <w:t>L</w:t>
            </w:r>
            <w:r>
              <w:t>eft</w:t>
            </w:r>
          </w:p>
          <w:p w:rsidR="00DF2680" w:rsidRPr="004E6FF7" w:rsidRDefault="00DF2680" w:rsidP="00DF2680">
            <w:pPr>
              <w:pStyle w:val="NoSpacing"/>
            </w:pPr>
            <w:r w:rsidRPr="004E6FF7">
              <w:t>UIQ</w:t>
            </w:r>
          </w:p>
        </w:tc>
        <w:tc>
          <w:tcPr>
            <w:tcW w:w="1691" w:type="dxa"/>
          </w:tcPr>
          <w:p w:rsidR="00DF2680" w:rsidRPr="004E6FF7" w:rsidRDefault="00DF2680" w:rsidP="00DF2680">
            <w:pPr>
              <w:pStyle w:val="NoSpacing"/>
            </w:pPr>
            <w:r w:rsidRPr="004E6FF7">
              <w:t>4X</w:t>
            </w:r>
            <w:r>
              <w:t>3x</w:t>
            </w:r>
            <w:r w:rsidRPr="004E6FF7">
              <w:t>2.5</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37B9E">
              <w:t>Case 8</w:t>
            </w:r>
          </w:p>
          <w:p w:rsidR="00DF2680" w:rsidRPr="00837B9E" w:rsidRDefault="00DF2680" w:rsidP="00DF2680">
            <w:pPr>
              <w:pStyle w:val="NoSpacing"/>
            </w:pPr>
            <w:r>
              <w:t>Typical MBC</w:t>
            </w:r>
          </w:p>
          <w:p w:rsidR="00DF2680" w:rsidRPr="00837B9E" w:rsidRDefault="00DF2680" w:rsidP="00DF2680">
            <w:pPr>
              <w:pStyle w:val="NoSpacing"/>
            </w:pPr>
          </w:p>
          <w:p w:rsidR="00DF2680" w:rsidRPr="004E6FF7" w:rsidRDefault="00DF2680" w:rsidP="00DF2680">
            <w:pPr>
              <w:pStyle w:val="NoSpacing"/>
            </w:pPr>
          </w:p>
        </w:tc>
        <w:tc>
          <w:tcPr>
            <w:tcW w:w="1116" w:type="dxa"/>
          </w:tcPr>
          <w:p w:rsidR="00DF2680" w:rsidRDefault="00DF2680" w:rsidP="00DF2680">
            <w:pPr>
              <w:pStyle w:val="NoSpacing"/>
            </w:pPr>
            <w:r w:rsidRPr="004E6FF7">
              <w:t>45</w:t>
            </w:r>
          </w:p>
          <w:p w:rsidR="00DF2680" w:rsidRPr="004E6FF7" w:rsidRDefault="00DF2680" w:rsidP="00DF2680">
            <w:pPr>
              <w:pStyle w:val="NoSpacing"/>
            </w:pPr>
          </w:p>
        </w:tc>
        <w:tc>
          <w:tcPr>
            <w:tcW w:w="1195" w:type="dxa"/>
          </w:tcPr>
          <w:p w:rsidR="00DF2680" w:rsidRPr="004E6FF7" w:rsidRDefault="00DF2680" w:rsidP="00DF2680">
            <w:pPr>
              <w:pStyle w:val="NoSpacing"/>
            </w:pPr>
            <w:r w:rsidRPr="004E6FF7">
              <w:t>BX</w:t>
            </w:r>
          </w:p>
        </w:tc>
        <w:tc>
          <w:tcPr>
            <w:tcW w:w="1273" w:type="dxa"/>
          </w:tcPr>
          <w:p w:rsidR="00DF2680" w:rsidRPr="004E6FF7" w:rsidRDefault="00DF2680" w:rsidP="00DF2680">
            <w:pPr>
              <w:pStyle w:val="NoSpacing"/>
            </w:pPr>
            <w:r w:rsidRPr="004E6FF7">
              <w:t>L</w:t>
            </w:r>
            <w:r>
              <w:t>eft</w:t>
            </w:r>
          </w:p>
          <w:p w:rsidR="00DF2680" w:rsidRPr="004E6FF7" w:rsidRDefault="00DF2680" w:rsidP="00DF2680">
            <w:pPr>
              <w:pStyle w:val="NoSpacing"/>
            </w:pPr>
            <w:r w:rsidRPr="004E6FF7">
              <w:t>UIQ</w:t>
            </w:r>
          </w:p>
        </w:tc>
        <w:tc>
          <w:tcPr>
            <w:tcW w:w="1691" w:type="dxa"/>
          </w:tcPr>
          <w:p w:rsidR="00DF2680" w:rsidRPr="004E6FF7" w:rsidRDefault="00DF2680" w:rsidP="00DF2680">
            <w:pPr>
              <w:pStyle w:val="NoSpacing"/>
            </w:pPr>
            <w:r>
              <w:t>3x2x2.6</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37B9E">
              <w:t>Case 9</w:t>
            </w:r>
          </w:p>
          <w:p w:rsidR="00DF2680" w:rsidRPr="00837B9E" w:rsidRDefault="00DF2680" w:rsidP="00DF2680">
            <w:pPr>
              <w:pStyle w:val="NoSpacing"/>
            </w:pPr>
            <w:r>
              <w:t>Typical MBC</w:t>
            </w:r>
          </w:p>
          <w:p w:rsidR="00DF2680" w:rsidRPr="00837B9E" w:rsidRDefault="00DF2680" w:rsidP="00DF2680">
            <w:pPr>
              <w:pStyle w:val="NoSpacing"/>
            </w:pPr>
          </w:p>
          <w:p w:rsidR="00DF2680" w:rsidRPr="004E6FF7" w:rsidRDefault="00DF2680" w:rsidP="00DF2680">
            <w:pPr>
              <w:pStyle w:val="NoSpacing"/>
            </w:pPr>
          </w:p>
        </w:tc>
        <w:tc>
          <w:tcPr>
            <w:tcW w:w="1116" w:type="dxa"/>
          </w:tcPr>
          <w:p w:rsidR="00DF2680" w:rsidRDefault="00DF2680" w:rsidP="00DF2680">
            <w:pPr>
              <w:pStyle w:val="NoSpacing"/>
            </w:pPr>
            <w:r w:rsidRPr="004E6FF7">
              <w:t>45</w:t>
            </w:r>
          </w:p>
          <w:p w:rsidR="00DF2680" w:rsidRPr="004E6FF7" w:rsidRDefault="00DF2680" w:rsidP="00DF2680">
            <w:pPr>
              <w:pStyle w:val="NoSpacing"/>
            </w:pPr>
          </w:p>
        </w:tc>
        <w:tc>
          <w:tcPr>
            <w:tcW w:w="1195" w:type="dxa"/>
          </w:tcPr>
          <w:p w:rsidR="00DF2680" w:rsidRPr="004E6FF7" w:rsidRDefault="00DF2680" w:rsidP="00DF2680">
            <w:pPr>
              <w:pStyle w:val="NoSpacing"/>
            </w:pPr>
            <w:r w:rsidRPr="004E6FF7">
              <w:t>MRM</w:t>
            </w:r>
          </w:p>
        </w:tc>
        <w:tc>
          <w:tcPr>
            <w:tcW w:w="1273" w:type="dxa"/>
          </w:tcPr>
          <w:p w:rsidR="00DF2680" w:rsidRPr="004E6FF7" w:rsidRDefault="00DF2680" w:rsidP="00DF2680">
            <w:pPr>
              <w:pStyle w:val="NoSpacing"/>
            </w:pPr>
            <w:r w:rsidRPr="004E6FF7">
              <w:t>R</w:t>
            </w:r>
            <w:r>
              <w:t>ight</w:t>
            </w:r>
          </w:p>
          <w:p w:rsidR="00DF2680" w:rsidRPr="004E6FF7" w:rsidRDefault="00DF2680" w:rsidP="00DF2680">
            <w:pPr>
              <w:pStyle w:val="NoSpacing"/>
            </w:pPr>
            <w:r w:rsidRPr="004E6FF7">
              <w:t>UOQ</w:t>
            </w:r>
          </w:p>
        </w:tc>
        <w:tc>
          <w:tcPr>
            <w:tcW w:w="1691" w:type="dxa"/>
          </w:tcPr>
          <w:p w:rsidR="00DF2680" w:rsidRPr="004E6FF7" w:rsidRDefault="00DF2680" w:rsidP="00DF2680">
            <w:pPr>
              <w:pStyle w:val="NoSpacing"/>
            </w:pPr>
            <w:r>
              <w:t>3.5X2.5X2</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37B9E">
              <w:t>Case 10</w:t>
            </w:r>
          </w:p>
          <w:p w:rsidR="00DF2680" w:rsidRPr="00975FC2" w:rsidRDefault="00DF2680" w:rsidP="00DF2680">
            <w:pPr>
              <w:pStyle w:val="NoSpacing"/>
            </w:pPr>
            <w:r>
              <w:t>Typical MBC</w:t>
            </w:r>
          </w:p>
        </w:tc>
        <w:tc>
          <w:tcPr>
            <w:tcW w:w="1116" w:type="dxa"/>
          </w:tcPr>
          <w:p w:rsidR="00DF2680" w:rsidRDefault="00DF2680" w:rsidP="00DF2680">
            <w:pPr>
              <w:pStyle w:val="NoSpacing"/>
            </w:pPr>
            <w:r w:rsidRPr="004E6FF7">
              <w:t>50</w:t>
            </w:r>
          </w:p>
          <w:p w:rsidR="00DF2680" w:rsidRPr="004E6FF7" w:rsidRDefault="00DF2680" w:rsidP="00DF2680">
            <w:pPr>
              <w:pStyle w:val="NoSpacing"/>
            </w:pPr>
          </w:p>
        </w:tc>
        <w:tc>
          <w:tcPr>
            <w:tcW w:w="1195" w:type="dxa"/>
          </w:tcPr>
          <w:p w:rsidR="00DF2680" w:rsidRPr="004E6FF7" w:rsidRDefault="00DF2680" w:rsidP="00DF2680">
            <w:pPr>
              <w:pStyle w:val="NoSpacing"/>
            </w:pPr>
            <w:r w:rsidRPr="004E6FF7">
              <w:t>MRM</w:t>
            </w:r>
          </w:p>
        </w:tc>
        <w:tc>
          <w:tcPr>
            <w:tcW w:w="1273" w:type="dxa"/>
          </w:tcPr>
          <w:p w:rsidR="00DF2680" w:rsidRDefault="00DF2680" w:rsidP="00DF2680">
            <w:pPr>
              <w:pStyle w:val="NoSpacing"/>
            </w:pPr>
            <w:r w:rsidRPr="004E6FF7">
              <w:t>R</w:t>
            </w:r>
            <w:r>
              <w:t>ight</w:t>
            </w:r>
          </w:p>
          <w:p w:rsidR="00DF2680" w:rsidRPr="004E6FF7" w:rsidRDefault="00DF2680" w:rsidP="00DF2680">
            <w:pPr>
              <w:pStyle w:val="NoSpacing"/>
            </w:pPr>
            <w:r w:rsidRPr="004E6FF7">
              <w:t>UIQ</w:t>
            </w:r>
          </w:p>
        </w:tc>
        <w:tc>
          <w:tcPr>
            <w:tcW w:w="1691" w:type="dxa"/>
          </w:tcPr>
          <w:p w:rsidR="00DF2680" w:rsidRPr="004E6FF7" w:rsidRDefault="00DF2680" w:rsidP="00DF2680">
            <w:pPr>
              <w:pStyle w:val="NoSpacing"/>
            </w:pPr>
            <w:r w:rsidRPr="004E6FF7">
              <w:t>2.5X2.1X2</w:t>
            </w:r>
          </w:p>
        </w:tc>
        <w:tc>
          <w:tcPr>
            <w:tcW w:w="1635" w:type="dxa"/>
          </w:tcPr>
          <w:p w:rsidR="00DF2680" w:rsidRPr="004E6FF7"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21CEC">
              <w:t>Case 1</w:t>
            </w:r>
            <w:r>
              <w:t>1</w:t>
            </w:r>
          </w:p>
          <w:p w:rsidR="00DF2680" w:rsidRPr="00975FC2" w:rsidRDefault="00DF2680" w:rsidP="00DF2680">
            <w:pPr>
              <w:pStyle w:val="NoSpacing"/>
            </w:pPr>
            <w:r>
              <w:t>Atypical MBC</w:t>
            </w:r>
          </w:p>
        </w:tc>
        <w:tc>
          <w:tcPr>
            <w:tcW w:w="1116" w:type="dxa"/>
          </w:tcPr>
          <w:p w:rsidR="00DF2680" w:rsidRPr="00821CEC" w:rsidRDefault="00DF2680" w:rsidP="00DF2680">
            <w:pPr>
              <w:pStyle w:val="NoSpacing"/>
            </w:pPr>
            <w:r w:rsidRPr="00821CEC">
              <w:t>60</w:t>
            </w:r>
          </w:p>
          <w:p w:rsidR="00DF2680" w:rsidRPr="00821CEC" w:rsidRDefault="00DF2680" w:rsidP="00DF2680">
            <w:pPr>
              <w:pStyle w:val="NoSpacing"/>
            </w:pPr>
          </w:p>
        </w:tc>
        <w:tc>
          <w:tcPr>
            <w:tcW w:w="1195" w:type="dxa"/>
          </w:tcPr>
          <w:p w:rsidR="00DF2680" w:rsidRPr="00821CEC" w:rsidRDefault="00DF2680" w:rsidP="00DF2680">
            <w:pPr>
              <w:pStyle w:val="NoSpacing"/>
            </w:pPr>
            <w:r w:rsidRPr="00821CEC">
              <w:t>MRM</w:t>
            </w:r>
          </w:p>
        </w:tc>
        <w:tc>
          <w:tcPr>
            <w:tcW w:w="1273" w:type="dxa"/>
          </w:tcPr>
          <w:p w:rsidR="00DF2680" w:rsidRPr="00821CEC" w:rsidRDefault="00DF2680" w:rsidP="00DF2680">
            <w:pPr>
              <w:pStyle w:val="NoSpacing"/>
            </w:pPr>
            <w:r w:rsidRPr="00821CEC">
              <w:t>Left</w:t>
            </w:r>
          </w:p>
          <w:p w:rsidR="00DF2680" w:rsidRPr="00821CEC" w:rsidRDefault="00DF2680" w:rsidP="00DF2680">
            <w:pPr>
              <w:pStyle w:val="NoSpacing"/>
            </w:pPr>
            <w:r w:rsidRPr="00821CEC">
              <w:t>UIQ</w:t>
            </w:r>
          </w:p>
        </w:tc>
        <w:tc>
          <w:tcPr>
            <w:tcW w:w="1691" w:type="dxa"/>
          </w:tcPr>
          <w:p w:rsidR="00DF2680" w:rsidRPr="00821CEC" w:rsidRDefault="00DF2680" w:rsidP="00DF2680">
            <w:pPr>
              <w:pStyle w:val="NoSpacing"/>
            </w:pPr>
            <w:r w:rsidRPr="00821CEC">
              <w:t>5X4x3</w:t>
            </w:r>
          </w:p>
        </w:tc>
        <w:tc>
          <w:tcPr>
            <w:tcW w:w="1635" w:type="dxa"/>
          </w:tcPr>
          <w:p w:rsidR="00DF2680" w:rsidRPr="00821CEC" w:rsidRDefault="00DF2680" w:rsidP="00DF2680">
            <w:pPr>
              <w:pStyle w:val="NoSpacing"/>
            </w:pPr>
            <w:r>
              <w:t>No</w:t>
            </w:r>
          </w:p>
        </w:tc>
      </w:tr>
      <w:tr w:rsidR="00DF2680" w:rsidRPr="004E6FF7" w:rsidTr="00DF2680">
        <w:trPr>
          <w:trHeight w:val="589"/>
        </w:trPr>
        <w:tc>
          <w:tcPr>
            <w:tcW w:w="1446" w:type="dxa"/>
          </w:tcPr>
          <w:p w:rsidR="00DF2680" w:rsidRDefault="00DF2680" w:rsidP="00DF2680">
            <w:pPr>
              <w:pStyle w:val="NoSpacing"/>
            </w:pPr>
            <w:r w:rsidRPr="00821CEC">
              <w:t xml:space="preserve">Case </w:t>
            </w:r>
            <w:r>
              <w:t>1</w:t>
            </w:r>
            <w:r w:rsidRPr="00821CEC">
              <w:t>2</w:t>
            </w:r>
          </w:p>
          <w:p w:rsidR="00DF2680" w:rsidRPr="00975FC2" w:rsidRDefault="00DF2680" w:rsidP="00DF2680">
            <w:pPr>
              <w:pStyle w:val="NoSpacing"/>
            </w:pPr>
            <w:r>
              <w:t>Atypical MBC</w:t>
            </w:r>
          </w:p>
          <w:p w:rsidR="00DF2680" w:rsidRPr="00821CEC" w:rsidRDefault="00DF2680" w:rsidP="00DF2680">
            <w:pPr>
              <w:pStyle w:val="NoSpacing"/>
            </w:pPr>
          </w:p>
          <w:p w:rsidR="00DF2680" w:rsidRPr="00821CEC" w:rsidRDefault="00DF2680" w:rsidP="00DF2680">
            <w:pPr>
              <w:pStyle w:val="NoSpacing"/>
            </w:pPr>
          </w:p>
        </w:tc>
        <w:tc>
          <w:tcPr>
            <w:tcW w:w="1116" w:type="dxa"/>
          </w:tcPr>
          <w:p w:rsidR="00DF2680" w:rsidRPr="00821CEC" w:rsidRDefault="00DF2680" w:rsidP="00DF2680">
            <w:pPr>
              <w:pStyle w:val="NoSpacing"/>
            </w:pPr>
            <w:r w:rsidRPr="00821CEC">
              <w:t>58</w:t>
            </w:r>
          </w:p>
          <w:p w:rsidR="00DF2680" w:rsidRPr="00821CEC" w:rsidRDefault="00DF2680" w:rsidP="00DF2680">
            <w:pPr>
              <w:pStyle w:val="NoSpacing"/>
            </w:pPr>
          </w:p>
        </w:tc>
        <w:tc>
          <w:tcPr>
            <w:tcW w:w="1195" w:type="dxa"/>
          </w:tcPr>
          <w:p w:rsidR="00DF2680" w:rsidRPr="00821CEC" w:rsidRDefault="00DF2680" w:rsidP="00DF2680">
            <w:pPr>
              <w:pStyle w:val="NoSpacing"/>
            </w:pPr>
            <w:r w:rsidRPr="00821CEC">
              <w:t>MRM</w:t>
            </w:r>
          </w:p>
        </w:tc>
        <w:tc>
          <w:tcPr>
            <w:tcW w:w="1273" w:type="dxa"/>
          </w:tcPr>
          <w:p w:rsidR="00DF2680" w:rsidRPr="00821CEC" w:rsidRDefault="00DF2680" w:rsidP="00DF2680">
            <w:pPr>
              <w:pStyle w:val="NoSpacing"/>
            </w:pPr>
            <w:r w:rsidRPr="00821CEC">
              <w:t>Left</w:t>
            </w:r>
          </w:p>
          <w:p w:rsidR="00DF2680" w:rsidRPr="00821CEC" w:rsidRDefault="00DF2680" w:rsidP="00DF2680">
            <w:pPr>
              <w:pStyle w:val="NoSpacing"/>
            </w:pPr>
            <w:r w:rsidRPr="00821CEC">
              <w:t>UOQ</w:t>
            </w:r>
          </w:p>
        </w:tc>
        <w:tc>
          <w:tcPr>
            <w:tcW w:w="1691" w:type="dxa"/>
          </w:tcPr>
          <w:p w:rsidR="00DF2680" w:rsidRPr="00821CEC" w:rsidRDefault="00DF2680" w:rsidP="00DF2680">
            <w:pPr>
              <w:pStyle w:val="NoSpacing"/>
            </w:pPr>
            <w:r w:rsidRPr="00821CEC">
              <w:t>3.5X3X3</w:t>
            </w:r>
          </w:p>
        </w:tc>
        <w:tc>
          <w:tcPr>
            <w:tcW w:w="1635" w:type="dxa"/>
          </w:tcPr>
          <w:p w:rsidR="00DF2680" w:rsidRPr="00821CEC" w:rsidRDefault="00DF2680" w:rsidP="00DF2680">
            <w:pPr>
              <w:pStyle w:val="NoSpacing"/>
            </w:pPr>
            <w:r w:rsidRPr="00821CEC">
              <w:t>No</w:t>
            </w:r>
          </w:p>
        </w:tc>
      </w:tr>
    </w:tbl>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DF2680" w:rsidRDefault="00DF2680" w:rsidP="00975FC2">
      <w:pPr>
        <w:rPr>
          <w:sz w:val="28"/>
          <w:szCs w:val="28"/>
        </w:rPr>
      </w:pPr>
    </w:p>
    <w:p w:rsidR="00975FC2" w:rsidRPr="00816F48" w:rsidRDefault="00975FC2" w:rsidP="00975FC2">
      <w:pPr>
        <w:rPr>
          <w:b/>
          <w:sz w:val="28"/>
          <w:szCs w:val="28"/>
        </w:rPr>
      </w:pPr>
      <w:r>
        <w:rPr>
          <w:b/>
          <w:sz w:val="28"/>
          <w:szCs w:val="28"/>
          <w:u w:val="single"/>
        </w:rPr>
        <w:lastRenderedPageBreak/>
        <w:t>Table 3</w:t>
      </w:r>
      <w:r w:rsidRPr="003A6F0B">
        <w:rPr>
          <w:b/>
          <w:sz w:val="28"/>
          <w:szCs w:val="28"/>
          <w:u w:val="single"/>
        </w:rPr>
        <w:t xml:space="preserve"> :</w:t>
      </w:r>
      <w:r>
        <w:rPr>
          <w:b/>
          <w:sz w:val="28"/>
          <w:szCs w:val="28"/>
        </w:rPr>
        <w:t xml:space="preserve"> HISTOPATHOLOGICAL FEATURES OF TYPICAL MEDULLARY CARCINOMA</w:t>
      </w:r>
    </w:p>
    <w:tbl>
      <w:tblPr>
        <w:tblStyle w:val="TableGrid"/>
        <w:tblpPr w:leftFromText="180" w:rightFromText="180" w:vertAnchor="page" w:horzAnchor="margin" w:tblpXSpec="right" w:tblpY="3031"/>
        <w:tblW w:w="9741" w:type="dxa"/>
        <w:tblLook w:val="04A0"/>
      </w:tblPr>
      <w:tblGrid>
        <w:gridCol w:w="1550"/>
        <w:gridCol w:w="899"/>
        <w:gridCol w:w="899"/>
        <w:gridCol w:w="912"/>
        <w:gridCol w:w="746"/>
        <w:gridCol w:w="899"/>
        <w:gridCol w:w="899"/>
        <w:gridCol w:w="899"/>
        <w:gridCol w:w="899"/>
        <w:gridCol w:w="899"/>
        <w:gridCol w:w="649"/>
      </w:tblGrid>
      <w:tr w:rsidR="00975FC2" w:rsidTr="00DF2680">
        <w:trPr>
          <w:trHeight w:val="878"/>
        </w:trPr>
        <w:tc>
          <w:tcPr>
            <w:tcW w:w="1464" w:type="dxa"/>
          </w:tcPr>
          <w:p w:rsidR="00975FC2" w:rsidRDefault="00975FC2" w:rsidP="00975FC2">
            <w:pPr>
              <w:pStyle w:val="NoSpacing"/>
            </w:pPr>
          </w:p>
        </w:tc>
        <w:tc>
          <w:tcPr>
            <w:tcW w:w="849" w:type="dxa"/>
          </w:tcPr>
          <w:p w:rsidR="00975FC2" w:rsidRDefault="00975FC2" w:rsidP="00975FC2">
            <w:pPr>
              <w:pStyle w:val="NoSpacing"/>
            </w:pPr>
            <w:r>
              <w:t>Case 1</w:t>
            </w:r>
          </w:p>
        </w:tc>
        <w:tc>
          <w:tcPr>
            <w:tcW w:w="849" w:type="dxa"/>
          </w:tcPr>
          <w:p w:rsidR="00975FC2" w:rsidRDefault="00975FC2" w:rsidP="00975FC2">
            <w:pPr>
              <w:pStyle w:val="NoSpacing"/>
            </w:pPr>
            <w:r>
              <w:t>Case 2</w:t>
            </w:r>
          </w:p>
        </w:tc>
        <w:tc>
          <w:tcPr>
            <w:tcW w:w="861" w:type="dxa"/>
          </w:tcPr>
          <w:p w:rsidR="00975FC2" w:rsidRDefault="00975FC2" w:rsidP="00975FC2">
            <w:pPr>
              <w:pStyle w:val="NoSpacing"/>
            </w:pPr>
            <w:r>
              <w:t>Case3</w:t>
            </w:r>
          </w:p>
        </w:tc>
        <w:tc>
          <w:tcPr>
            <w:tcW w:w="705" w:type="dxa"/>
          </w:tcPr>
          <w:p w:rsidR="00975FC2" w:rsidRDefault="00975FC2" w:rsidP="00975FC2">
            <w:pPr>
              <w:pStyle w:val="NoSpacing"/>
            </w:pPr>
            <w:r>
              <w:t>Case4</w:t>
            </w:r>
          </w:p>
        </w:tc>
        <w:tc>
          <w:tcPr>
            <w:tcW w:w="849" w:type="dxa"/>
          </w:tcPr>
          <w:p w:rsidR="00975FC2" w:rsidRDefault="00975FC2" w:rsidP="00975FC2">
            <w:pPr>
              <w:pStyle w:val="NoSpacing"/>
            </w:pPr>
            <w:r>
              <w:t>Case 5</w:t>
            </w:r>
          </w:p>
        </w:tc>
        <w:tc>
          <w:tcPr>
            <w:tcW w:w="849" w:type="dxa"/>
          </w:tcPr>
          <w:p w:rsidR="00975FC2" w:rsidRDefault="00975FC2" w:rsidP="00975FC2">
            <w:pPr>
              <w:pStyle w:val="NoSpacing"/>
            </w:pPr>
            <w:r>
              <w:t>Case 6</w:t>
            </w:r>
          </w:p>
        </w:tc>
        <w:tc>
          <w:tcPr>
            <w:tcW w:w="849" w:type="dxa"/>
          </w:tcPr>
          <w:p w:rsidR="00975FC2" w:rsidRDefault="00975FC2" w:rsidP="00975FC2">
            <w:pPr>
              <w:pStyle w:val="NoSpacing"/>
            </w:pPr>
            <w:r>
              <w:t>Case 7</w:t>
            </w:r>
          </w:p>
        </w:tc>
        <w:tc>
          <w:tcPr>
            <w:tcW w:w="849" w:type="dxa"/>
          </w:tcPr>
          <w:p w:rsidR="00975FC2" w:rsidRDefault="00975FC2" w:rsidP="00975FC2">
            <w:pPr>
              <w:pStyle w:val="NoSpacing"/>
            </w:pPr>
            <w:r>
              <w:t>Case 8</w:t>
            </w:r>
          </w:p>
        </w:tc>
        <w:tc>
          <w:tcPr>
            <w:tcW w:w="849" w:type="dxa"/>
          </w:tcPr>
          <w:p w:rsidR="00975FC2" w:rsidRDefault="00975FC2" w:rsidP="00975FC2">
            <w:pPr>
              <w:pStyle w:val="NoSpacing"/>
            </w:pPr>
            <w:r>
              <w:t>Case 9</w:t>
            </w:r>
          </w:p>
        </w:tc>
        <w:tc>
          <w:tcPr>
            <w:tcW w:w="768" w:type="dxa"/>
          </w:tcPr>
          <w:p w:rsidR="00975FC2" w:rsidRDefault="00975FC2" w:rsidP="00975FC2">
            <w:pPr>
              <w:pStyle w:val="NoSpacing"/>
            </w:pPr>
            <w:r>
              <w:t>Case 10</w:t>
            </w:r>
          </w:p>
        </w:tc>
      </w:tr>
      <w:tr w:rsidR="00975FC2" w:rsidTr="00DF2680">
        <w:trPr>
          <w:trHeight w:val="860"/>
        </w:trPr>
        <w:tc>
          <w:tcPr>
            <w:tcW w:w="1464" w:type="dxa"/>
          </w:tcPr>
          <w:p w:rsidR="00975FC2" w:rsidRDefault="00975FC2" w:rsidP="00975FC2">
            <w:pPr>
              <w:pStyle w:val="NoSpacing"/>
              <w:rPr>
                <w:b/>
              </w:rPr>
            </w:pPr>
            <w:r>
              <w:rPr>
                <w:b/>
              </w:rPr>
              <w:t>&gt;75%</w:t>
            </w:r>
          </w:p>
          <w:p w:rsidR="00975FC2" w:rsidRDefault="00975FC2" w:rsidP="00975FC2">
            <w:pPr>
              <w:pStyle w:val="NoSpacing"/>
            </w:pPr>
            <w:r>
              <w:rPr>
                <w:b/>
              </w:rPr>
              <w:t>Syncy</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61" w:type="dxa"/>
          </w:tcPr>
          <w:p w:rsidR="00975FC2" w:rsidRDefault="00975FC2" w:rsidP="00975FC2">
            <w:pPr>
              <w:pStyle w:val="NoSpacing"/>
            </w:pPr>
            <w:r>
              <w:t>+</w:t>
            </w:r>
          </w:p>
        </w:tc>
        <w:tc>
          <w:tcPr>
            <w:tcW w:w="705"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768" w:type="dxa"/>
          </w:tcPr>
          <w:p w:rsidR="00975FC2" w:rsidRDefault="00975FC2" w:rsidP="00975FC2">
            <w:pPr>
              <w:pStyle w:val="NoSpacing"/>
            </w:pPr>
            <w:r>
              <w:t>+</w:t>
            </w:r>
          </w:p>
        </w:tc>
      </w:tr>
      <w:tr w:rsidR="00975FC2" w:rsidTr="00DF2680">
        <w:trPr>
          <w:trHeight w:val="908"/>
        </w:trPr>
        <w:tc>
          <w:tcPr>
            <w:tcW w:w="1464" w:type="dxa"/>
          </w:tcPr>
          <w:p w:rsidR="00975FC2" w:rsidRPr="003A4EDB" w:rsidRDefault="00975FC2" w:rsidP="00975FC2">
            <w:pPr>
              <w:pStyle w:val="NoSpacing"/>
              <w:rPr>
                <w:b/>
              </w:rPr>
            </w:pPr>
            <w:r w:rsidRPr="003A4EDB">
              <w:rPr>
                <w:b/>
              </w:rPr>
              <w:t>Lp infiltrate</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861" w:type="dxa"/>
          </w:tcPr>
          <w:p w:rsidR="00975FC2" w:rsidRDefault="00975FC2" w:rsidP="00975FC2">
            <w:pPr>
              <w:pStyle w:val="NoSpacing"/>
            </w:pPr>
            <w:r>
              <w:t>Marked</w:t>
            </w:r>
          </w:p>
        </w:tc>
        <w:tc>
          <w:tcPr>
            <w:tcW w:w="705" w:type="dxa"/>
          </w:tcPr>
          <w:p w:rsidR="00975FC2" w:rsidRDefault="00975FC2" w:rsidP="00975FC2">
            <w:pPr>
              <w:pStyle w:val="NoSpacing"/>
            </w:pPr>
            <w:r>
              <w:t>mod</w:t>
            </w:r>
          </w:p>
        </w:tc>
        <w:tc>
          <w:tcPr>
            <w:tcW w:w="849" w:type="dxa"/>
          </w:tcPr>
          <w:p w:rsidR="00975FC2" w:rsidRDefault="00975FC2" w:rsidP="00975FC2">
            <w:pPr>
              <w:pStyle w:val="NoSpacing"/>
            </w:pPr>
            <w:r>
              <w:t>mod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mod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768" w:type="dxa"/>
          </w:tcPr>
          <w:p w:rsidR="00975FC2" w:rsidRDefault="00975FC2" w:rsidP="00975FC2">
            <w:pPr>
              <w:pStyle w:val="NoSpacing"/>
            </w:pPr>
            <w:r>
              <w:t>mod</w:t>
            </w:r>
          </w:p>
        </w:tc>
      </w:tr>
      <w:tr w:rsidR="00975FC2" w:rsidTr="00DF2680">
        <w:trPr>
          <w:trHeight w:val="658"/>
        </w:trPr>
        <w:tc>
          <w:tcPr>
            <w:tcW w:w="1464" w:type="dxa"/>
          </w:tcPr>
          <w:p w:rsidR="00975FC2" w:rsidRDefault="00975FC2" w:rsidP="00975FC2">
            <w:pPr>
              <w:pStyle w:val="NoSpacing"/>
            </w:pPr>
            <w:r>
              <w:rPr>
                <w:b/>
              </w:rPr>
              <w:t>pleomorphism</w:t>
            </w:r>
          </w:p>
        </w:tc>
        <w:tc>
          <w:tcPr>
            <w:tcW w:w="849" w:type="dxa"/>
          </w:tcPr>
          <w:p w:rsidR="00975FC2" w:rsidRDefault="00975FC2" w:rsidP="00975FC2">
            <w:pPr>
              <w:pStyle w:val="NoSpacing"/>
            </w:pPr>
            <w:r>
              <w:t>mod</w:t>
            </w:r>
          </w:p>
        </w:tc>
        <w:tc>
          <w:tcPr>
            <w:tcW w:w="849" w:type="dxa"/>
          </w:tcPr>
          <w:p w:rsidR="00975FC2" w:rsidRDefault="00975FC2" w:rsidP="00975FC2">
            <w:pPr>
              <w:pStyle w:val="NoSpacing"/>
            </w:pPr>
            <w:r>
              <w:t>mod</w:t>
            </w:r>
          </w:p>
        </w:tc>
        <w:tc>
          <w:tcPr>
            <w:tcW w:w="861" w:type="dxa"/>
          </w:tcPr>
          <w:p w:rsidR="00975FC2" w:rsidRDefault="00975FC2" w:rsidP="00975FC2">
            <w:pPr>
              <w:pStyle w:val="NoSpacing"/>
            </w:pPr>
            <w:r>
              <w:t>Marked</w:t>
            </w:r>
          </w:p>
        </w:tc>
        <w:tc>
          <w:tcPr>
            <w:tcW w:w="705" w:type="dxa"/>
          </w:tcPr>
          <w:p w:rsidR="00975FC2" w:rsidRDefault="00975FC2" w:rsidP="00975FC2">
            <w:pPr>
              <w:pStyle w:val="NoSpacing"/>
            </w:pPr>
            <w:r>
              <w:t>mod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849" w:type="dxa"/>
          </w:tcPr>
          <w:p w:rsidR="00975FC2" w:rsidRDefault="00975FC2" w:rsidP="00975FC2">
            <w:pPr>
              <w:pStyle w:val="NoSpacing"/>
            </w:pPr>
            <w:r>
              <w:t>marked</w:t>
            </w:r>
          </w:p>
        </w:tc>
        <w:tc>
          <w:tcPr>
            <w:tcW w:w="768" w:type="dxa"/>
          </w:tcPr>
          <w:p w:rsidR="00975FC2" w:rsidRDefault="00975FC2" w:rsidP="00975FC2">
            <w:pPr>
              <w:pStyle w:val="NoSpacing"/>
            </w:pPr>
            <w:r>
              <w:t>mod</w:t>
            </w:r>
          </w:p>
        </w:tc>
      </w:tr>
      <w:tr w:rsidR="00975FC2" w:rsidTr="00DF2680">
        <w:trPr>
          <w:trHeight w:val="1892"/>
        </w:trPr>
        <w:tc>
          <w:tcPr>
            <w:tcW w:w="1464" w:type="dxa"/>
          </w:tcPr>
          <w:p w:rsidR="00975FC2" w:rsidRDefault="00975FC2" w:rsidP="00975FC2">
            <w:pPr>
              <w:pStyle w:val="NoSpacing"/>
              <w:rPr>
                <w:b/>
              </w:rPr>
            </w:pPr>
            <w:r>
              <w:rPr>
                <w:b/>
              </w:rPr>
              <w:t>DCIS/IDC</w:t>
            </w:r>
          </w:p>
          <w:p w:rsidR="00975FC2" w:rsidRDefault="00975FC2" w:rsidP="00975FC2">
            <w:pPr>
              <w:pStyle w:val="NoSpacing"/>
              <w:rPr>
                <w:b/>
              </w:rPr>
            </w:pPr>
            <w:r>
              <w:rPr>
                <w:b/>
              </w:rPr>
              <w:t>+/-</w:t>
            </w:r>
          </w:p>
          <w:p w:rsidR="00975FC2" w:rsidRDefault="00975FC2" w:rsidP="00975FC2">
            <w:pPr>
              <w:pStyle w:val="NoSpacing"/>
            </w:pPr>
            <w:r>
              <w:rPr>
                <w:b/>
              </w:rPr>
              <w:t>Absence of gland and intraductal formation</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61" w:type="dxa"/>
          </w:tcPr>
          <w:p w:rsidR="00975FC2" w:rsidRDefault="00975FC2" w:rsidP="00975FC2">
            <w:pPr>
              <w:pStyle w:val="NoSpacing"/>
            </w:pPr>
            <w:r>
              <w:t>-</w:t>
            </w:r>
          </w:p>
        </w:tc>
        <w:tc>
          <w:tcPr>
            <w:tcW w:w="705"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849" w:type="dxa"/>
          </w:tcPr>
          <w:p w:rsidR="00975FC2" w:rsidRDefault="00975FC2" w:rsidP="00975FC2">
            <w:pPr>
              <w:pStyle w:val="NoSpacing"/>
            </w:pPr>
            <w:r>
              <w:t>-</w:t>
            </w:r>
          </w:p>
        </w:tc>
        <w:tc>
          <w:tcPr>
            <w:tcW w:w="768" w:type="dxa"/>
          </w:tcPr>
          <w:p w:rsidR="00975FC2" w:rsidRDefault="00975FC2" w:rsidP="00975FC2">
            <w:pPr>
              <w:pStyle w:val="NoSpacing"/>
            </w:pPr>
            <w:r>
              <w:t>-</w:t>
            </w:r>
          </w:p>
        </w:tc>
      </w:tr>
      <w:tr w:rsidR="00975FC2" w:rsidTr="00DF2680">
        <w:trPr>
          <w:trHeight w:val="1095"/>
        </w:trPr>
        <w:tc>
          <w:tcPr>
            <w:tcW w:w="1464" w:type="dxa"/>
          </w:tcPr>
          <w:p w:rsidR="00975FC2" w:rsidRDefault="00975FC2" w:rsidP="00975FC2">
            <w:pPr>
              <w:pStyle w:val="NoSpacing"/>
              <w:rPr>
                <w:b/>
              </w:rPr>
            </w:pPr>
            <w:r>
              <w:rPr>
                <w:b/>
              </w:rPr>
              <w:t>Necrosis %</w:t>
            </w:r>
          </w:p>
          <w:p w:rsidR="00975FC2" w:rsidRDefault="00975FC2" w:rsidP="00975FC2">
            <w:pPr>
              <w:pStyle w:val="NoSpacing"/>
              <w:rPr>
                <w:b/>
              </w:rPr>
            </w:pPr>
            <w:r>
              <w:rPr>
                <w:b/>
              </w:rPr>
              <w:t>1-10%</w:t>
            </w:r>
          </w:p>
          <w:p w:rsidR="00975FC2" w:rsidRDefault="00975FC2" w:rsidP="00975FC2">
            <w:pPr>
              <w:pStyle w:val="NoSpacing"/>
              <w:rPr>
                <w:b/>
              </w:rPr>
            </w:pPr>
            <w:r>
              <w:rPr>
                <w:b/>
              </w:rPr>
              <w:t>&gt;10%</w:t>
            </w:r>
          </w:p>
        </w:tc>
        <w:tc>
          <w:tcPr>
            <w:tcW w:w="849"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861" w:type="dxa"/>
          </w:tcPr>
          <w:p w:rsidR="00975FC2" w:rsidRDefault="00975FC2" w:rsidP="00975FC2">
            <w:pPr>
              <w:pStyle w:val="NoSpacing"/>
            </w:pPr>
            <w:r>
              <w:t>1-10%</w:t>
            </w:r>
          </w:p>
        </w:tc>
        <w:tc>
          <w:tcPr>
            <w:tcW w:w="705"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849" w:type="dxa"/>
          </w:tcPr>
          <w:p w:rsidR="00975FC2" w:rsidRDefault="00975FC2" w:rsidP="00975FC2">
            <w:pPr>
              <w:pStyle w:val="NoSpacing"/>
            </w:pPr>
            <w:r>
              <w:t>nil</w:t>
            </w:r>
          </w:p>
        </w:tc>
        <w:tc>
          <w:tcPr>
            <w:tcW w:w="768" w:type="dxa"/>
          </w:tcPr>
          <w:p w:rsidR="00975FC2" w:rsidRDefault="00975FC2" w:rsidP="00975FC2">
            <w:pPr>
              <w:pStyle w:val="NoSpacing"/>
            </w:pPr>
            <w:r>
              <w:t>nil</w:t>
            </w:r>
          </w:p>
        </w:tc>
      </w:tr>
      <w:tr w:rsidR="00975FC2" w:rsidTr="00DF2680">
        <w:trPr>
          <w:trHeight w:val="454"/>
        </w:trPr>
        <w:tc>
          <w:tcPr>
            <w:tcW w:w="1464" w:type="dxa"/>
          </w:tcPr>
          <w:p w:rsidR="00975FC2" w:rsidRDefault="00975FC2" w:rsidP="00975FC2">
            <w:pPr>
              <w:pStyle w:val="NoSpacing"/>
              <w:rPr>
                <w:b/>
              </w:rPr>
            </w:pPr>
            <w:r>
              <w:rPr>
                <w:b/>
              </w:rPr>
              <w:t>Tumor border</w:t>
            </w:r>
          </w:p>
        </w:tc>
        <w:tc>
          <w:tcPr>
            <w:tcW w:w="849" w:type="dxa"/>
          </w:tcPr>
          <w:p w:rsidR="00975FC2" w:rsidRDefault="00975FC2" w:rsidP="00975FC2">
            <w:pPr>
              <w:pStyle w:val="NoSpacing"/>
            </w:pPr>
            <w:r>
              <w:t>wc</w:t>
            </w:r>
          </w:p>
          <w:p w:rsidR="00975FC2" w:rsidRDefault="00975FC2" w:rsidP="00975FC2">
            <w:pPr>
              <w:pStyle w:val="NoSpacing"/>
            </w:pPr>
          </w:p>
          <w:p w:rsidR="00975FC2" w:rsidRDefault="00975FC2" w:rsidP="00975FC2">
            <w:pPr>
              <w:pStyle w:val="NoSpacing"/>
            </w:pPr>
          </w:p>
        </w:tc>
        <w:tc>
          <w:tcPr>
            <w:tcW w:w="849" w:type="dxa"/>
          </w:tcPr>
          <w:p w:rsidR="00975FC2" w:rsidRDefault="00975FC2" w:rsidP="00975FC2">
            <w:pPr>
              <w:pStyle w:val="NoSpacing"/>
            </w:pPr>
            <w:r>
              <w:t>wc</w:t>
            </w:r>
          </w:p>
        </w:tc>
        <w:tc>
          <w:tcPr>
            <w:tcW w:w="861" w:type="dxa"/>
          </w:tcPr>
          <w:p w:rsidR="00975FC2" w:rsidRDefault="00975FC2" w:rsidP="00975FC2">
            <w:pPr>
              <w:pStyle w:val="NoSpacing"/>
            </w:pPr>
            <w:r>
              <w:t>wc</w:t>
            </w:r>
          </w:p>
        </w:tc>
        <w:tc>
          <w:tcPr>
            <w:tcW w:w="705" w:type="dxa"/>
          </w:tcPr>
          <w:p w:rsidR="00975FC2" w:rsidRDefault="00975FC2" w:rsidP="00975FC2">
            <w:pPr>
              <w:pStyle w:val="NoSpacing"/>
            </w:pPr>
            <w:r>
              <w:t>Push</w:t>
            </w:r>
          </w:p>
        </w:tc>
        <w:tc>
          <w:tcPr>
            <w:tcW w:w="849" w:type="dxa"/>
          </w:tcPr>
          <w:p w:rsidR="00975FC2" w:rsidRDefault="00975FC2" w:rsidP="00975FC2">
            <w:pPr>
              <w:pStyle w:val="NoSpacing"/>
            </w:pPr>
            <w:r>
              <w:t>push</w:t>
            </w:r>
          </w:p>
        </w:tc>
        <w:tc>
          <w:tcPr>
            <w:tcW w:w="849" w:type="dxa"/>
          </w:tcPr>
          <w:p w:rsidR="00975FC2" w:rsidRDefault="00975FC2" w:rsidP="00975FC2">
            <w:pPr>
              <w:pStyle w:val="NoSpacing"/>
            </w:pPr>
            <w:r>
              <w:t>wc</w:t>
            </w:r>
          </w:p>
        </w:tc>
        <w:tc>
          <w:tcPr>
            <w:tcW w:w="849" w:type="dxa"/>
          </w:tcPr>
          <w:p w:rsidR="00975FC2" w:rsidRDefault="00975FC2" w:rsidP="00975FC2">
            <w:pPr>
              <w:pStyle w:val="NoSpacing"/>
            </w:pPr>
            <w:r>
              <w:t>wc</w:t>
            </w:r>
          </w:p>
        </w:tc>
        <w:tc>
          <w:tcPr>
            <w:tcW w:w="849" w:type="dxa"/>
          </w:tcPr>
          <w:p w:rsidR="00975FC2" w:rsidRDefault="00975FC2" w:rsidP="00975FC2">
            <w:pPr>
              <w:pStyle w:val="NoSpacing"/>
            </w:pPr>
            <w:r>
              <w:t>wc</w:t>
            </w:r>
          </w:p>
        </w:tc>
        <w:tc>
          <w:tcPr>
            <w:tcW w:w="849" w:type="dxa"/>
          </w:tcPr>
          <w:p w:rsidR="00975FC2" w:rsidRDefault="00975FC2" w:rsidP="00975FC2">
            <w:pPr>
              <w:pStyle w:val="NoSpacing"/>
            </w:pPr>
            <w:r>
              <w:t>wc</w:t>
            </w:r>
          </w:p>
        </w:tc>
        <w:tc>
          <w:tcPr>
            <w:tcW w:w="768" w:type="dxa"/>
          </w:tcPr>
          <w:p w:rsidR="00975FC2" w:rsidRDefault="00975FC2" w:rsidP="00975FC2">
            <w:pPr>
              <w:pStyle w:val="NoSpacing"/>
            </w:pPr>
            <w:r>
              <w:t>push</w:t>
            </w:r>
          </w:p>
        </w:tc>
      </w:tr>
      <w:tr w:rsidR="00975FC2" w:rsidTr="00DF2680">
        <w:trPr>
          <w:trHeight w:val="454"/>
        </w:trPr>
        <w:tc>
          <w:tcPr>
            <w:tcW w:w="1464" w:type="dxa"/>
          </w:tcPr>
          <w:p w:rsidR="00975FC2" w:rsidRDefault="00975FC2" w:rsidP="00975FC2">
            <w:pPr>
              <w:pStyle w:val="NoSpacing"/>
              <w:rPr>
                <w:b/>
              </w:rPr>
            </w:pPr>
            <w:r>
              <w:rPr>
                <w:b/>
              </w:rPr>
              <w:t>Lymph node</w:t>
            </w:r>
          </w:p>
        </w:tc>
        <w:tc>
          <w:tcPr>
            <w:tcW w:w="849" w:type="dxa"/>
          </w:tcPr>
          <w:p w:rsidR="00975FC2" w:rsidRDefault="00975FC2" w:rsidP="00975FC2">
            <w:pPr>
              <w:pStyle w:val="NoSpacing"/>
            </w:pPr>
            <w:r>
              <w:t>0</w:t>
            </w:r>
          </w:p>
        </w:tc>
        <w:tc>
          <w:tcPr>
            <w:tcW w:w="849" w:type="dxa"/>
          </w:tcPr>
          <w:p w:rsidR="00975FC2" w:rsidRDefault="00975FC2" w:rsidP="00975FC2">
            <w:pPr>
              <w:pStyle w:val="NoSpacing"/>
            </w:pPr>
            <w:r>
              <w:t>1/6</w:t>
            </w:r>
          </w:p>
        </w:tc>
        <w:tc>
          <w:tcPr>
            <w:tcW w:w="861" w:type="dxa"/>
          </w:tcPr>
          <w:p w:rsidR="00975FC2" w:rsidRDefault="00975FC2" w:rsidP="00975FC2">
            <w:pPr>
              <w:pStyle w:val="NoSpacing"/>
            </w:pPr>
            <w:r>
              <w:t>0/16</w:t>
            </w:r>
          </w:p>
        </w:tc>
        <w:tc>
          <w:tcPr>
            <w:tcW w:w="705" w:type="dxa"/>
          </w:tcPr>
          <w:p w:rsidR="00975FC2" w:rsidRDefault="00975FC2" w:rsidP="00975FC2">
            <w:pPr>
              <w:pStyle w:val="NoSpacing"/>
            </w:pPr>
            <w:r>
              <w:t>0</w:t>
            </w:r>
          </w:p>
        </w:tc>
        <w:tc>
          <w:tcPr>
            <w:tcW w:w="849" w:type="dxa"/>
          </w:tcPr>
          <w:p w:rsidR="00975FC2" w:rsidRDefault="00975FC2" w:rsidP="00975FC2">
            <w:pPr>
              <w:pStyle w:val="NoSpacing"/>
            </w:pPr>
            <w:r>
              <w:t>0/7</w:t>
            </w:r>
          </w:p>
        </w:tc>
        <w:tc>
          <w:tcPr>
            <w:tcW w:w="849" w:type="dxa"/>
          </w:tcPr>
          <w:p w:rsidR="00975FC2" w:rsidRDefault="00975FC2" w:rsidP="00975FC2">
            <w:pPr>
              <w:pStyle w:val="NoSpacing"/>
            </w:pPr>
            <w:r>
              <w:t>0/3</w:t>
            </w:r>
          </w:p>
        </w:tc>
        <w:tc>
          <w:tcPr>
            <w:tcW w:w="849" w:type="dxa"/>
          </w:tcPr>
          <w:p w:rsidR="00975FC2" w:rsidRDefault="00975FC2" w:rsidP="00975FC2">
            <w:pPr>
              <w:pStyle w:val="NoSpacing"/>
            </w:pPr>
            <w:r>
              <w:t>1/6</w:t>
            </w:r>
          </w:p>
        </w:tc>
        <w:tc>
          <w:tcPr>
            <w:tcW w:w="849" w:type="dxa"/>
          </w:tcPr>
          <w:p w:rsidR="00975FC2" w:rsidRDefault="00975FC2" w:rsidP="00975FC2">
            <w:pPr>
              <w:pStyle w:val="NoSpacing"/>
            </w:pPr>
            <w:r>
              <w:t>1/4</w:t>
            </w:r>
          </w:p>
        </w:tc>
        <w:tc>
          <w:tcPr>
            <w:tcW w:w="849" w:type="dxa"/>
          </w:tcPr>
          <w:p w:rsidR="00975FC2" w:rsidRDefault="00975FC2" w:rsidP="00975FC2">
            <w:pPr>
              <w:pStyle w:val="NoSpacing"/>
            </w:pPr>
            <w:r>
              <w:t>0/6</w:t>
            </w:r>
          </w:p>
        </w:tc>
        <w:tc>
          <w:tcPr>
            <w:tcW w:w="768" w:type="dxa"/>
          </w:tcPr>
          <w:p w:rsidR="00975FC2" w:rsidRDefault="00975FC2" w:rsidP="00975FC2">
            <w:pPr>
              <w:pStyle w:val="NoSpacing"/>
            </w:pPr>
            <w:r>
              <w:t>2/8</w:t>
            </w:r>
          </w:p>
        </w:tc>
      </w:tr>
      <w:tr w:rsidR="00975FC2" w:rsidTr="00DF2680">
        <w:trPr>
          <w:trHeight w:val="454"/>
        </w:trPr>
        <w:tc>
          <w:tcPr>
            <w:tcW w:w="1464" w:type="dxa"/>
          </w:tcPr>
          <w:p w:rsidR="00975FC2" w:rsidRDefault="00975FC2" w:rsidP="00975FC2">
            <w:pPr>
              <w:pStyle w:val="NoSpacing"/>
              <w:rPr>
                <w:b/>
              </w:rPr>
            </w:pPr>
            <w:r>
              <w:rPr>
                <w:b/>
              </w:rPr>
              <w:t>SBR GARDE</w:t>
            </w:r>
          </w:p>
        </w:tc>
        <w:tc>
          <w:tcPr>
            <w:tcW w:w="849" w:type="dxa"/>
          </w:tcPr>
          <w:p w:rsidR="00975FC2" w:rsidRDefault="00975FC2" w:rsidP="00975FC2">
            <w:pPr>
              <w:pStyle w:val="NoSpacing"/>
              <w:rPr>
                <w:sz w:val="28"/>
                <w:szCs w:val="28"/>
              </w:rPr>
            </w:pPr>
            <w:r>
              <w:rPr>
                <w:sz w:val="28"/>
                <w:szCs w:val="28"/>
              </w:rPr>
              <w:t>II</w:t>
            </w:r>
          </w:p>
        </w:tc>
        <w:tc>
          <w:tcPr>
            <w:tcW w:w="849" w:type="dxa"/>
          </w:tcPr>
          <w:p w:rsidR="00975FC2" w:rsidRDefault="00975FC2" w:rsidP="00975FC2">
            <w:pPr>
              <w:pStyle w:val="NoSpacing"/>
              <w:rPr>
                <w:sz w:val="28"/>
                <w:szCs w:val="28"/>
              </w:rPr>
            </w:pPr>
            <w:r>
              <w:rPr>
                <w:sz w:val="28"/>
                <w:szCs w:val="28"/>
              </w:rPr>
              <w:t>II</w:t>
            </w:r>
          </w:p>
        </w:tc>
        <w:tc>
          <w:tcPr>
            <w:tcW w:w="861" w:type="dxa"/>
          </w:tcPr>
          <w:p w:rsidR="00975FC2" w:rsidRDefault="00975FC2" w:rsidP="00975FC2">
            <w:pPr>
              <w:pStyle w:val="NoSpacing"/>
              <w:rPr>
                <w:sz w:val="28"/>
                <w:szCs w:val="28"/>
              </w:rPr>
            </w:pPr>
            <w:r>
              <w:rPr>
                <w:sz w:val="28"/>
                <w:szCs w:val="28"/>
              </w:rPr>
              <w:t>III</w:t>
            </w:r>
          </w:p>
        </w:tc>
        <w:tc>
          <w:tcPr>
            <w:tcW w:w="705" w:type="dxa"/>
          </w:tcPr>
          <w:p w:rsidR="00975FC2" w:rsidRDefault="00975FC2" w:rsidP="00975FC2">
            <w:pPr>
              <w:pStyle w:val="NoSpacing"/>
              <w:rPr>
                <w:sz w:val="28"/>
                <w:szCs w:val="28"/>
              </w:rPr>
            </w:pPr>
            <w:r>
              <w:rPr>
                <w:sz w:val="28"/>
                <w:szCs w:val="28"/>
              </w:rPr>
              <w:t>II</w:t>
            </w:r>
          </w:p>
        </w:tc>
        <w:tc>
          <w:tcPr>
            <w:tcW w:w="849" w:type="dxa"/>
          </w:tcPr>
          <w:p w:rsidR="00975FC2" w:rsidRDefault="00975FC2" w:rsidP="00975FC2">
            <w:pPr>
              <w:pStyle w:val="NoSpacing"/>
              <w:rPr>
                <w:sz w:val="28"/>
                <w:szCs w:val="28"/>
              </w:rPr>
            </w:pPr>
            <w:r>
              <w:rPr>
                <w:sz w:val="28"/>
                <w:szCs w:val="28"/>
              </w:rPr>
              <w:t>III</w:t>
            </w:r>
          </w:p>
        </w:tc>
        <w:tc>
          <w:tcPr>
            <w:tcW w:w="849" w:type="dxa"/>
          </w:tcPr>
          <w:p w:rsidR="00975FC2" w:rsidRDefault="00975FC2" w:rsidP="00975FC2">
            <w:pPr>
              <w:pStyle w:val="NoSpacing"/>
              <w:rPr>
                <w:sz w:val="28"/>
                <w:szCs w:val="28"/>
              </w:rPr>
            </w:pPr>
            <w:r>
              <w:rPr>
                <w:sz w:val="28"/>
                <w:szCs w:val="28"/>
              </w:rPr>
              <w:t>III</w:t>
            </w:r>
          </w:p>
        </w:tc>
        <w:tc>
          <w:tcPr>
            <w:tcW w:w="849" w:type="dxa"/>
          </w:tcPr>
          <w:p w:rsidR="00975FC2" w:rsidRDefault="00975FC2" w:rsidP="00975FC2">
            <w:pPr>
              <w:pStyle w:val="NoSpacing"/>
              <w:rPr>
                <w:sz w:val="28"/>
                <w:szCs w:val="28"/>
              </w:rPr>
            </w:pPr>
            <w:r>
              <w:rPr>
                <w:sz w:val="28"/>
                <w:szCs w:val="28"/>
              </w:rPr>
              <w:t>III</w:t>
            </w:r>
          </w:p>
        </w:tc>
        <w:tc>
          <w:tcPr>
            <w:tcW w:w="849" w:type="dxa"/>
          </w:tcPr>
          <w:p w:rsidR="00975FC2" w:rsidRDefault="00975FC2" w:rsidP="00975FC2">
            <w:pPr>
              <w:pStyle w:val="NoSpacing"/>
              <w:rPr>
                <w:sz w:val="28"/>
                <w:szCs w:val="28"/>
              </w:rPr>
            </w:pPr>
            <w:r>
              <w:rPr>
                <w:sz w:val="28"/>
                <w:szCs w:val="28"/>
              </w:rPr>
              <w:t>III</w:t>
            </w:r>
          </w:p>
        </w:tc>
        <w:tc>
          <w:tcPr>
            <w:tcW w:w="849" w:type="dxa"/>
          </w:tcPr>
          <w:p w:rsidR="00975FC2" w:rsidRDefault="00975FC2" w:rsidP="00975FC2">
            <w:pPr>
              <w:pStyle w:val="NoSpacing"/>
              <w:rPr>
                <w:sz w:val="28"/>
                <w:szCs w:val="28"/>
              </w:rPr>
            </w:pPr>
            <w:r>
              <w:rPr>
                <w:sz w:val="28"/>
                <w:szCs w:val="28"/>
              </w:rPr>
              <w:t>III</w:t>
            </w:r>
          </w:p>
        </w:tc>
        <w:tc>
          <w:tcPr>
            <w:tcW w:w="768" w:type="dxa"/>
          </w:tcPr>
          <w:p w:rsidR="00975FC2" w:rsidRDefault="00975FC2" w:rsidP="00975FC2">
            <w:pPr>
              <w:pStyle w:val="NoSpacing"/>
              <w:rPr>
                <w:sz w:val="28"/>
                <w:szCs w:val="28"/>
              </w:rPr>
            </w:pPr>
            <w:r>
              <w:rPr>
                <w:sz w:val="28"/>
                <w:szCs w:val="28"/>
              </w:rPr>
              <w:t>II</w:t>
            </w:r>
          </w:p>
        </w:tc>
      </w:tr>
      <w:tr w:rsidR="00975FC2" w:rsidTr="00DF2680">
        <w:trPr>
          <w:trHeight w:val="454"/>
        </w:trPr>
        <w:tc>
          <w:tcPr>
            <w:tcW w:w="1464" w:type="dxa"/>
          </w:tcPr>
          <w:p w:rsidR="00975FC2" w:rsidRDefault="00975FC2" w:rsidP="00975FC2">
            <w:pPr>
              <w:pStyle w:val="NoSpacing"/>
              <w:rPr>
                <w:b/>
              </w:rPr>
            </w:pPr>
            <w:r>
              <w:rPr>
                <w:b/>
              </w:rPr>
              <w:t>Stage</w:t>
            </w:r>
          </w:p>
        </w:tc>
        <w:tc>
          <w:tcPr>
            <w:tcW w:w="849" w:type="dxa"/>
          </w:tcPr>
          <w:p w:rsidR="00975FC2" w:rsidRDefault="00975FC2" w:rsidP="00975FC2">
            <w:pPr>
              <w:pStyle w:val="NoSpacing"/>
              <w:rPr>
                <w:sz w:val="28"/>
                <w:szCs w:val="28"/>
              </w:rPr>
            </w:pPr>
            <w:r>
              <w:rPr>
                <w:sz w:val="28"/>
                <w:szCs w:val="28"/>
              </w:rPr>
              <w:t>IIa</w:t>
            </w:r>
          </w:p>
        </w:tc>
        <w:tc>
          <w:tcPr>
            <w:tcW w:w="849" w:type="dxa"/>
          </w:tcPr>
          <w:p w:rsidR="00975FC2" w:rsidRDefault="00975FC2" w:rsidP="00975FC2">
            <w:pPr>
              <w:pStyle w:val="NoSpacing"/>
              <w:rPr>
                <w:sz w:val="28"/>
                <w:szCs w:val="28"/>
              </w:rPr>
            </w:pPr>
            <w:r>
              <w:rPr>
                <w:sz w:val="28"/>
                <w:szCs w:val="28"/>
              </w:rPr>
              <w:t>IIb</w:t>
            </w:r>
          </w:p>
        </w:tc>
        <w:tc>
          <w:tcPr>
            <w:tcW w:w="861" w:type="dxa"/>
          </w:tcPr>
          <w:p w:rsidR="00975FC2" w:rsidRDefault="00975FC2" w:rsidP="00975FC2">
            <w:pPr>
              <w:pStyle w:val="NoSpacing"/>
              <w:rPr>
                <w:sz w:val="28"/>
                <w:szCs w:val="28"/>
              </w:rPr>
            </w:pPr>
            <w:r>
              <w:rPr>
                <w:sz w:val="28"/>
                <w:szCs w:val="28"/>
              </w:rPr>
              <w:t>IIIb</w:t>
            </w:r>
          </w:p>
        </w:tc>
        <w:tc>
          <w:tcPr>
            <w:tcW w:w="705" w:type="dxa"/>
          </w:tcPr>
          <w:p w:rsidR="00975FC2" w:rsidRDefault="00975FC2" w:rsidP="00975FC2">
            <w:pPr>
              <w:pStyle w:val="NoSpacing"/>
              <w:rPr>
                <w:sz w:val="28"/>
                <w:szCs w:val="28"/>
              </w:rPr>
            </w:pPr>
            <w:r>
              <w:rPr>
                <w:sz w:val="28"/>
                <w:szCs w:val="28"/>
              </w:rPr>
              <w:t>IIa</w:t>
            </w:r>
          </w:p>
        </w:tc>
        <w:tc>
          <w:tcPr>
            <w:tcW w:w="849" w:type="dxa"/>
          </w:tcPr>
          <w:p w:rsidR="00975FC2" w:rsidRDefault="00975FC2" w:rsidP="00975FC2">
            <w:pPr>
              <w:pStyle w:val="NoSpacing"/>
              <w:rPr>
                <w:sz w:val="28"/>
                <w:szCs w:val="28"/>
              </w:rPr>
            </w:pPr>
            <w:r>
              <w:rPr>
                <w:sz w:val="28"/>
                <w:szCs w:val="28"/>
              </w:rPr>
              <w:t>IIb</w:t>
            </w:r>
          </w:p>
        </w:tc>
        <w:tc>
          <w:tcPr>
            <w:tcW w:w="849" w:type="dxa"/>
          </w:tcPr>
          <w:p w:rsidR="00975FC2" w:rsidRDefault="00975FC2" w:rsidP="00975FC2">
            <w:pPr>
              <w:pStyle w:val="NoSpacing"/>
              <w:rPr>
                <w:sz w:val="28"/>
                <w:szCs w:val="28"/>
              </w:rPr>
            </w:pPr>
            <w:r>
              <w:rPr>
                <w:sz w:val="28"/>
                <w:szCs w:val="28"/>
              </w:rPr>
              <w:t>IIa</w:t>
            </w:r>
          </w:p>
        </w:tc>
        <w:tc>
          <w:tcPr>
            <w:tcW w:w="849" w:type="dxa"/>
          </w:tcPr>
          <w:p w:rsidR="00975FC2" w:rsidRDefault="00975FC2" w:rsidP="00975FC2">
            <w:pPr>
              <w:pStyle w:val="NoSpacing"/>
              <w:rPr>
                <w:sz w:val="28"/>
                <w:szCs w:val="28"/>
              </w:rPr>
            </w:pPr>
            <w:r>
              <w:rPr>
                <w:sz w:val="28"/>
                <w:szCs w:val="28"/>
              </w:rPr>
              <w:t>IIb</w:t>
            </w:r>
          </w:p>
        </w:tc>
        <w:tc>
          <w:tcPr>
            <w:tcW w:w="849" w:type="dxa"/>
          </w:tcPr>
          <w:p w:rsidR="00975FC2" w:rsidRDefault="00975FC2" w:rsidP="00975FC2">
            <w:pPr>
              <w:pStyle w:val="NoSpacing"/>
              <w:rPr>
                <w:sz w:val="28"/>
                <w:szCs w:val="28"/>
              </w:rPr>
            </w:pPr>
            <w:r>
              <w:rPr>
                <w:sz w:val="28"/>
                <w:szCs w:val="28"/>
              </w:rPr>
              <w:t>IIb</w:t>
            </w:r>
          </w:p>
        </w:tc>
        <w:tc>
          <w:tcPr>
            <w:tcW w:w="849" w:type="dxa"/>
          </w:tcPr>
          <w:p w:rsidR="00975FC2" w:rsidRDefault="00975FC2" w:rsidP="00975FC2">
            <w:pPr>
              <w:pStyle w:val="NoSpacing"/>
              <w:rPr>
                <w:sz w:val="28"/>
                <w:szCs w:val="28"/>
              </w:rPr>
            </w:pPr>
            <w:r>
              <w:rPr>
                <w:sz w:val="28"/>
                <w:szCs w:val="28"/>
              </w:rPr>
              <w:t>IIa</w:t>
            </w:r>
          </w:p>
        </w:tc>
        <w:tc>
          <w:tcPr>
            <w:tcW w:w="768" w:type="dxa"/>
          </w:tcPr>
          <w:p w:rsidR="00975FC2" w:rsidRDefault="00975FC2" w:rsidP="00975FC2">
            <w:pPr>
              <w:pStyle w:val="NoSpacing"/>
              <w:rPr>
                <w:sz w:val="28"/>
                <w:szCs w:val="28"/>
              </w:rPr>
            </w:pPr>
            <w:r>
              <w:rPr>
                <w:sz w:val="28"/>
                <w:szCs w:val="28"/>
              </w:rPr>
              <w:t xml:space="preserve">IIb </w:t>
            </w:r>
          </w:p>
        </w:tc>
      </w:tr>
      <w:tr w:rsidR="00975FC2" w:rsidTr="00DF2680">
        <w:trPr>
          <w:trHeight w:val="454"/>
        </w:trPr>
        <w:tc>
          <w:tcPr>
            <w:tcW w:w="1464" w:type="dxa"/>
          </w:tcPr>
          <w:p w:rsidR="00975FC2" w:rsidRDefault="00975FC2" w:rsidP="00975FC2">
            <w:pPr>
              <w:pStyle w:val="NoSpacing"/>
              <w:rPr>
                <w:b/>
              </w:rPr>
            </w:pPr>
            <w:r>
              <w:rPr>
                <w:b/>
              </w:rPr>
              <w:t>ER/PR/HER 2 neu</w:t>
            </w:r>
          </w:p>
        </w:tc>
        <w:tc>
          <w:tcPr>
            <w:tcW w:w="849"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861" w:type="dxa"/>
          </w:tcPr>
          <w:p w:rsidR="00975FC2" w:rsidRDefault="00975FC2" w:rsidP="00975FC2">
            <w:pPr>
              <w:pStyle w:val="NoSpacing"/>
              <w:rPr>
                <w:sz w:val="28"/>
                <w:szCs w:val="28"/>
              </w:rPr>
            </w:pPr>
            <w:r>
              <w:rPr>
                <w:sz w:val="28"/>
                <w:szCs w:val="28"/>
              </w:rPr>
              <w:t>+/+/+</w:t>
            </w:r>
          </w:p>
        </w:tc>
        <w:tc>
          <w:tcPr>
            <w:tcW w:w="705"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849" w:type="dxa"/>
          </w:tcPr>
          <w:p w:rsidR="00975FC2" w:rsidRDefault="00975FC2" w:rsidP="00975FC2">
            <w:pPr>
              <w:pStyle w:val="NoSpacing"/>
              <w:rPr>
                <w:sz w:val="28"/>
                <w:szCs w:val="28"/>
              </w:rPr>
            </w:pPr>
            <w:r>
              <w:rPr>
                <w:sz w:val="28"/>
                <w:szCs w:val="28"/>
              </w:rPr>
              <w:t>-/-/-</w:t>
            </w:r>
          </w:p>
        </w:tc>
        <w:tc>
          <w:tcPr>
            <w:tcW w:w="768" w:type="dxa"/>
          </w:tcPr>
          <w:p w:rsidR="00975FC2" w:rsidRDefault="00975FC2" w:rsidP="00975FC2">
            <w:pPr>
              <w:pStyle w:val="NoSpacing"/>
              <w:rPr>
                <w:sz w:val="28"/>
                <w:szCs w:val="28"/>
              </w:rPr>
            </w:pPr>
            <w:r>
              <w:rPr>
                <w:sz w:val="28"/>
                <w:szCs w:val="28"/>
              </w:rPr>
              <w:t>-/-/-</w:t>
            </w:r>
          </w:p>
        </w:tc>
      </w:tr>
    </w:tbl>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b/>
          <w:sz w:val="28"/>
          <w:szCs w:val="28"/>
        </w:rPr>
      </w:pPr>
      <w:r w:rsidRPr="003A6F0B">
        <w:rPr>
          <w:b/>
          <w:sz w:val="28"/>
          <w:szCs w:val="28"/>
          <w:u w:val="single"/>
        </w:rPr>
        <w:t xml:space="preserve">TABLE </w:t>
      </w:r>
      <w:r>
        <w:rPr>
          <w:b/>
          <w:sz w:val="28"/>
          <w:szCs w:val="28"/>
          <w:u w:val="single"/>
        </w:rPr>
        <w:t>4</w:t>
      </w:r>
      <w:r>
        <w:rPr>
          <w:b/>
          <w:sz w:val="28"/>
          <w:szCs w:val="28"/>
        </w:rPr>
        <w:t xml:space="preserve"> : HISTOPATHOLOGICAL</w:t>
      </w:r>
      <w:r w:rsidRPr="00B96905">
        <w:rPr>
          <w:b/>
          <w:sz w:val="28"/>
          <w:szCs w:val="28"/>
        </w:rPr>
        <w:t xml:space="preserve"> FEATURES OF </w:t>
      </w:r>
      <w:r>
        <w:rPr>
          <w:b/>
          <w:sz w:val="28"/>
          <w:szCs w:val="28"/>
        </w:rPr>
        <w:t>A</w:t>
      </w:r>
      <w:r w:rsidRPr="00B96905">
        <w:rPr>
          <w:b/>
          <w:sz w:val="28"/>
          <w:szCs w:val="28"/>
        </w:rPr>
        <w:t>TYPICAL MEDULLARY CARCINOMA</w:t>
      </w:r>
    </w:p>
    <w:p w:rsidR="00975FC2" w:rsidRDefault="00975FC2" w:rsidP="00975FC2">
      <w:pPr>
        <w:rPr>
          <w:sz w:val="28"/>
          <w:szCs w:val="28"/>
        </w:rPr>
      </w:pPr>
    </w:p>
    <w:p w:rsidR="00975FC2" w:rsidRDefault="00975FC2" w:rsidP="00975FC2">
      <w:pPr>
        <w:rPr>
          <w:sz w:val="28"/>
          <w:szCs w:val="28"/>
        </w:rPr>
      </w:pPr>
    </w:p>
    <w:tbl>
      <w:tblPr>
        <w:tblStyle w:val="TableGrid"/>
        <w:tblpPr w:leftFromText="180" w:rightFromText="180" w:vertAnchor="page" w:horzAnchor="page" w:tblpX="1813" w:tblpY="3361"/>
        <w:tblW w:w="5642" w:type="dxa"/>
        <w:tblLook w:val="04A0"/>
      </w:tblPr>
      <w:tblGrid>
        <w:gridCol w:w="2381"/>
        <w:gridCol w:w="1519"/>
        <w:gridCol w:w="1742"/>
      </w:tblGrid>
      <w:tr w:rsidR="00975FC2" w:rsidTr="00F6762D">
        <w:trPr>
          <w:trHeight w:val="853"/>
        </w:trPr>
        <w:tc>
          <w:tcPr>
            <w:tcW w:w="2381" w:type="dxa"/>
          </w:tcPr>
          <w:p w:rsidR="00975FC2" w:rsidRDefault="00975FC2" w:rsidP="00F6762D">
            <w:pPr>
              <w:pStyle w:val="NoSpacing"/>
            </w:pPr>
          </w:p>
        </w:tc>
        <w:tc>
          <w:tcPr>
            <w:tcW w:w="1519" w:type="dxa"/>
          </w:tcPr>
          <w:p w:rsidR="00975FC2" w:rsidRDefault="00975FC2" w:rsidP="00F6762D">
            <w:pPr>
              <w:pStyle w:val="NoSpacing"/>
            </w:pPr>
            <w:r>
              <w:t>Case1</w:t>
            </w:r>
            <w:r w:rsidR="00DF2680">
              <w:t>1</w:t>
            </w:r>
          </w:p>
        </w:tc>
        <w:tc>
          <w:tcPr>
            <w:tcW w:w="1742" w:type="dxa"/>
          </w:tcPr>
          <w:p w:rsidR="00975FC2" w:rsidRDefault="00975FC2" w:rsidP="00F6762D">
            <w:pPr>
              <w:pStyle w:val="NoSpacing"/>
            </w:pPr>
            <w:r>
              <w:t xml:space="preserve">Case </w:t>
            </w:r>
            <w:r w:rsidR="00DF2680">
              <w:t>1</w:t>
            </w:r>
            <w:r>
              <w:t>2</w:t>
            </w:r>
          </w:p>
        </w:tc>
      </w:tr>
      <w:tr w:rsidR="00975FC2" w:rsidTr="00F6762D">
        <w:trPr>
          <w:trHeight w:val="688"/>
        </w:trPr>
        <w:tc>
          <w:tcPr>
            <w:tcW w:w="2381" w:type="dxa"/>
          </w:tcPr>
          <w:p w:rsidR="00975FC2" w:rsidRDefault="00975FC2" w:rsidP="00F6762D">
            <w:pPr>
              <w:pStyle w:val="NoSpacing"/>
              <w:rPr>
                <w:b/>
              </w:rPr>
            </w:pPr>
            <w:r>
              <w:rPr>
                <w:b/>
              </w:rPr>
              <w:t>&gt;75%</w:t>
            </w:r>
          </w:p>
          <w:p w:rsidR="00975FC2" w:rsidRDefault="00975FC2" w:rsidP="00F6762D">
            <w:pPr>
              <w:pStyle w:val="NoSpacing"/>
            </w:pPr>
            <w:r>
              <w:rPr>
                <w:b/>
              </w:rPr>
              <w:t>Syncy</w:t>
            </w:r>
          </w:p>
        </w:tc>
        <w:tc>
          <w:tcPr>
            <w:tcW w:w="1519" w:type="dxa"/>
          </w:tcPr>
          <w:p w:rsidR="00975FC2" w:rsidRDefault="00975FC2" w:rsidP="00F6762D">
            <w:pPr>
              <w:pStyle w:val="NoSpacing"/>
            </w:pPr>
            <w:r>
              <w:t>+</w:t>
            </w:r>
          </w:p>
        </w:tc>
        <w:tc>
          <w:tcPr>
            <w:tcW w:w="1742" w:type="dxa"/>
          </w:tcPr>
          <w:p w:rsidR="00975FC2" w:rsidRDefault="00975FC2" w:rsidP="00F6762D">
            <w:pPr>
              <w:pStyle w:val="NoSpacing"/>
            </w:pPr>
            <w:r>
              <w:t>+</w:t>
            </w:r>
          </w:p>
        </w:tc>
      </w:tr>
      <w:tr w:rsidR="00975FC2" w:rsidTr="00F6762D">
        <w:trPr>
          <w:trHeight w:val="883"/>
        </w:trPr>
        <w:tc>
          <w:tcPr>
            <w:tcW w:w="2381" w:type="dxa"/>
          </w:tcPr>
          <w:p w:rsidR="00975FC2" w:rsidRDefault="00975FC2" w:rsidP="00F6762D">
            <w:pPr>
              <w:pStyle w:val="NoSpacing"/>
            </w:pPr>
            <w:r>
              <w:t>Lp infiltrate</w:t>
            </w:r>
          </w:p>
        </w:tc>
        <w:tc>
          <w:tcPr>
            <w:tcW w:w="1519" w:type="dxa"/>
          </w:tcPr>
          <w:p w:rsidR="00975FC2" w:rsidRDefault="00975FC2" w:rsidP="00F6762D">
            <w:pPr>
              <w:pStyle w:val="NoSpacing"/>
            </w:pPr>
            <w:r>
              <w:t>mild</w:t>
            </w:r>
          </w:p>
        </w:tc>
        <w:tc>
          <w:tcPr>
            <w:tcW w:w="1742" w:type="dxa"/>
          </w:tcPr>
          <w:p w:rsidR="00975FC2" w:rsidRDefault="00975FC2" w:rsidP="00F6762D">
            <w:pPr>
              <w:pStyle w:val="NoSpacing"/>
            </w:pPr>
            <w:r>
              <w:t>mild</w:t>
            </w:r>
          </w:p>
        </w:tc>
      </w:tr>
      <w:tr w:rsidR="00975FC2" w:rsidTr="00F6762D">
        <w:trPr>
          <w:trHeight w:val="853"/>
        </w:trPr>
        <w:tc>
          <w:tcPr>
            <w:tcW w:w="2381" w:type="dxa"/>
          </w:tcPr>
          <w:p w:rsidR="00975FC2" w:rsidRDefault="00975FC2" w:rsidP="00F6762D">
            <w:pPr>
              <w:pStyle w:val="NoSpacing"/>
            </w:pPr>
            <w:r>
              <w:rPr>
                <w:b/>
              </w:rPr>
              <w:t>pleomorphism</w:t>
            </w:r>
          </w:p>
        </w:tc>
        <w:tc>
          <w:tcPr>
            <w:tcW w:w="1519" w:type="dxa"/>
          </w:tcPr>
          <w:p w:rsidR="00975FC2" w:rsidRDefault="00975FC2" w:rsidP="00F6762D">
            <w:pPr>
              <w:pStyle w:val="NoSpacing"/>
            </w:pPr>
            <w:r>
              <w:t>marked</w:t>
            </w:r>
          </w:p>
        </w:tc>
        <w:tc>
          <w:tcPr>
            <w:tcW w:w="1742" w:type="dxa"/>
          </w:tcPr>
          <w:p w:rsidR="00975FC2" w:rsidRDefault="00975FC2" w:rsidP="00F6762D">
            <w:pPr>
              <w:pStyle w:val="NoSpacing"/>
            </w:pPr>
            <w:r>
              <w:t>mod</w:t>
            </w:r>
          </w:p>
        </w:tc>
      </w:tr>
      <w:tr w:rsidR="00975FC2" w:rsidTr="00F6762D">
        <w:trPr>
          <w:trHeight w:val="1350"/>
        </w:trPr>
        <w:tc>
          <w:tcPr>
            <w:tcW w:w="2381" w:type="dxa"/>
          </w:tcPr>
          <w:p w:rsidR="00975FC2" w:rsidRDefault="00975FC2" w:rsidP="00F6762D">
            <w:pPr>
              <w:pStyle w:val="NoSpacing"/>
              <w:rPr>
                <w:b/>
              </w:rPr>
            </w:pPr>
            <w:r>
              <w:rPr>
                <w:b/>
              </w:rPr>
              <w:t>DCIS/IDC</w:t>
            </w:r>
          </w:p>
          <w:p w:rsidR="00975FC2" w:rsidRDefault="00975FC2" w:rsidP="00F6762D">
            <w:pPr>
              <w:pStyle w:val="NoSpacing"/>
              <w:rPr>
                <w:b/>
              </w:rPr>
            </w:pPr>
            <w:r>
              <w:rPr>
                <w:b/>
              </w:rPr>
              <w:t>+/-</w:t>
            </w:r>
          </w:p>
          <w:p w:rsidR="00975FC2" w:rsidRDefault="00975FC2" w:rsidP="00F6762D">
            <w:pPr>
              <w:pStyle w:val="NoSpacing"/>
            </w:pPr>
            <w:r>
              <w:rPr>
                <w:b/>
              </w:rPr>
              <w:t>Absence of gland and intraductal formation</w:t>
            </w:r>
          </w:p>
        </w:tc>
        <w:tc>
          <w:tcPr>
            <w:tcW w:w="1519" w:type="dxa"/>
          </w:tcPr>
          <w:p w:rsidR="00975FC2" w:rsidRDefault="00975FC2" w:rsidP="00F6762D">
            <w:pPr>
              <w:pStyle w:val="NoSpacing"/>
            </w:pPr>
            <w:r>
              <w:t>DCIS</w:t>
            </w:r>
          </w:p>
        </w:tc>
        <w:tc>
          <w:tcPr>
            <w:tcW w:w="1742" w:type="dxa"/>
          </w:tcPr>
          <w:p w:rsidR="00975FC2" w:rsidRDefault="00975FC2" w:rsidP="00F6762D">
            <w:pPr>
              <w:pStyle w:val="NoSpacing"/>
            </w:pPr>
            <w:r>
              <w:t>DCIS</w:t>
            </w:r>
          </w:p>
          <w:p w:rsidR="00975FC2" w:rsidRDefault="00975FC2" w:rsidP="00F6762D">
            <w:pPr>
              <w:pStyle w:val="NoSpacing"/>
            </w:pPr>
            <w:r>
              <w:t>LVI</w:t>
            </w:r>
          </w:p>
        </w:tc>
      </w:tr>
      <w:tr w:rsidR="00975FC2" w:rsidTr="00F6762D">
        <w:trPr>
          <w:trHeight w:val="987"/>
        </w:trPr>
        <w:tc>
          <w:tcPr>
            <w:tcW w:w="2381" w:type="dxa"/>
          </w:tcPr>
          <w:p w:rsidR="00975FC2" w:rsidRDefault="00975FC2" w:rsidP="00F6762D">
            <w:pPr>
              <w:pStyle w:val="NoSpacing"/>
              <w:rPr>
                <w:b/>
              </w:rPr>
            </w:pPr>
            <w:r>
              <w:rPr>
                <w:b/>
              </w:rPr>
              <w:t>Necrosis %</w:t>
            </w:r>
          </w:p>
          <w:p w:rsidR="00975FC2" w:rsidRDefault="00975FC2" w:rsidP="00F6762D">
            <w:pPr>
              <w:pStyle w:val="NoSpacing"/>
              <w:rPr>
                <w:b/>
              </w:rPr>
            </w:pPr>
            <w:r>
              <w:rPr>
                <w:b/>
              </w:rPr>
              <w:t>1-10%</w:t>
            </w:r>
          </w:p>
          <w:p w:rsidR="00975FC2" w:rsidRDefault="00975FC2" w:rsidP="00F6762D">
            <w:pPr>
              <w:pStyle w:val="NoSpacing"/>
              <w:rPr>
                <w:b/>
              </w:rPr>
            </w:pPr>
            <w:r>
              <w:rPr>
                <w:b/>
              </w:rPr>
              <w:t>&gt;10%</w:t>
            </w:r>
          </w:p>
        </w:tc>
        <w:tc>
          <w:tcPr>
            <w:tcW w:w="1519" w:type="dxa"/>
          </w:tcPr>
          <w:p w:rsidR="00975FC2" w:rsidRDefault="00975FC2" w:rsidP="00F6762D">
            <w:pPr>
              <w:pStyle w:val="NoSpacing"/>
            </w:pPr>
            <w:r>
              <w:t>&gt;10%</w:t>
            </w:r>
          </w:p>
        </w:tc>
        <w:tc>
          <w:tcPr>
            <w:tcW w:w="1742" w:type="dxa"/>
          </w:tcPr>
          <w:p w:rsidR="00975FC2" w:rsidRDefault="00975FC2" w:rsidP="00F6762D">
            <w:pPr>
              <w:pStyle w:val="NoSpacing"/>
            </w:pPr>
            <w:r>
              <w:t>nil</w:t>
            </w:r>
          </w:p>
        </w:tc>
      </w:tr>
      <w:tr w:rsidR="00975FC2" w:rsidTr="00F6762D">
        <w:trPr>
          <w:trHeight w:val="441"/>
        </w:trPr>
        <w:tc>
          <w:tcPr>
            <w:tcW w:w="2381" w:type="dxa"/>
          </w:tcPr>
          <w:p w:rsidR="00975FC2" w:rsidRDefault="00975FC2" w:rsidP="00F6762D">
            <w:pPr>
              <w:pStyle w:val="NoSpacing"/>
              <w:rPr>
                <w:b/>
              </w:rPr>
            </w:pPr>
            <w:r>
              <w:rPr>
                <w:b/>
              </w:rPr>
              <w:t>Tumor border</w:t>
            </w:r>
          </w:p>
        </w:tc>
        <w:tc>
          <w:tcPr>
            <w:tcW w:w="1519" w:type="dxa"/>
          </w:tcPr>
          <w:p w:rsidR="00975FC2" w:rsidRDefault="00975FC2" w:rsidP="00F6762D">
            <w:pPr>
              <w:pStyle w:val="NoSpacing"/>
            </w:pPr>
            <w:r>
              <w:t>infiltr</w:t>
            </w:r>
          </w:p>
        </w:tc>
        <w:tc>
          <w:tcPr>
            <w:tcW w:w="1742" w:type="dxa"/>
          </w:tcPr>
          <w:p w:rsidR="00975FC2" w:rsidRDefault="00975FC2" w:rsidP="00F6762D">
            <w:pPr>
              <w:pStyle w:val="NoSpacing"/>
            </w:pPr>
            <w:r>
              <w:t>infiltr</w:t>
            </w:r>
          </w:p>
        </w:tc>
      </w:tr>
      <w:tr w:rsidR="00975FC2" w:rsidTr="00F6762D">
        <w:trPr>
          <w:trHeight w:val="441"/>
        </w:trPr>
        <w:tc>
          <w:tcPr>
            <w:tcW w:w="2381" w:type="dxa"/>
          </w:tcPr>
          <w:p w:rsidR="00975FC2" w:rsidRDefault="00975FC2" w:rsidP="00F6762D">
            <w:pPr>
              <w:pStyle w:val="NoSpacing"/>
              <w:rPr>
                <w:b/>
              </w:rPr>
            </w:pPr>
            <w:r>
              <w:rPr>
                <w:b/>
              </w:rPr>
              <w:t>Lymph node</w:t>
            </w:r>
          </w:p>
        </w:tc>
        <w:tc>
          <w:tcPr>
            <w:tcW w:w="1519" w:type="dxa"/>
          </w:tcPr>
          <w:p w:rsidR="00975FC2" w:rsidRDefault="00975FC2" w:rsidP="00F6762D">
            <w:pPr>
              <w:pStyle w:val="NoSpacing"/>
            </w:pPr>
            <w:r>
              <w:t>3/8</w:t>
            </w:r>
          </w:p>
        </w:tc>
        <w:tc>
          <w:tcPr>
            <w:tcW w:w="1742" w:type="dxa"/>
          </w:tcPr>
          <w:p w:rsidR="00975FC2" w:rsidRDefault="00975FC2" w:rsidP="00F6762D">
            <w:pPr>
              <w:pStyle w:val="NoSpacing"/>
            </w:pPr>
            <w:r>
              <w:t>12/26</w:t>
            </w:r>
          </w:p>
        </w:tc>
      </w:tr>
      <w:tr w:rsidR="00975FC2" w:rsidTr="00F6762D">
        <w:trPr>
          <w:trHeight w:val="441"/>
        </w:trPr>
        <w:tc>
          <w:tcPr>
            <w:tcW w:w="2381" w:type="dxa"/>
          </w:tcPr>
          <w:p w:rsidR="00975FC2" w:rsidRDefault="00975FC2" w:rsidP="00F6762D">
            <w:pPr>
              <w:pStyle w:val="NoSpacing"/>
              <w:rPr>
                <w:b/>
              </w:rPr>
            </w:pPr>
            <w:r>
              <w:rPr>
                <w:b/>
              </w:rPr>
              <w:t>SBR GARDE</w:t>
            </w:r>
          </w:p>
        </w:tc>
        <w:tc>
          <w:tcPr>
            <w:tcW w:w="1519" w:type="dxa"/>
          </w:tcPr>
          <w:p w:rsidR="00975FC2" w:rsidRDefault="00975FC2" w:rsidP="00F6762D">
            <w:pPr>
              <w:rPr>
                <w:sz w:val="28"/>
                <w:szCs w:val="28"/>
              </w:rPr>
            </w:pPr>
            <w:r>
              <w:rPr>
                <w:sz w:val="28"/>
                <w:szCs w:val="28"/>
              </w:rPr>
              <w:t>II</w:t>
            </w:r>
          </w:p>
        </w:tc>
        <w:tc>
          <w:tcPr>
            <w:tcW w:w="1742" w:type="dxa"/>
          </w:tcPr>
          <w:p w:rsidR="00975FC2" w:rsidRDefault="00975FC2" w:rsidP="00F6762D">
            <w:pPr>
              <w:rPr>
                <w:sz w:val="28"/>
                <w:szCs w:val="28"/>
              </w:rPr>
            </w:pPr>
            <w:r>
              <w:rPr>
                <w:sz w:val="28"/>
                <w:szCs w:val="28"/>
              </w:rPr>
              <w:t>II</w:t>
            </w:r>
          </w:p>
        </w:tc>
      </w:tr>
      <w:tr w:rsidR="00975FC2" w:rsidTr="00F6762D">
        <w:trPr>
          <w:trHeight w:val="441"/>
        </w:trPr>
        <w:tc>
          <w:tcPr>
            <w:tcW w:w="2381" w:type="dxa"/>
          </w:tcPr>
          <w:p w:rsidR="00975FC2" w:rsidRDefault="00975FC2" w:rsidP="00F6762D">
            <w:pPr>
              <w:pStyle w:val="NoSpacing"/>
              <w:rPr>
                <w:b/>
              </w:rPr>
            </w:pPr>
            <w:r>
              <w:rPr>
                <w:b/>
              </w:rPr>
              <w:t>Stage</w:t>
            </w:r>
          </w:p>
        </w:tc>
        <w:tc>
          <w:tcPr>
            <w:tcW w:w="1519" w:type="dxa"/>
          </w:tcPr>
          <w:p w:rsidR="00975FC2" w:rsidRDefault="00975FC2" w:rsidP="00F6762D">
            <w:pPr>
              <w:rPr>
                <w:sz w:val="28"/>
                <w:szCs w:val="28"/>
              </w:rPr>
            </w:pPr>
            <w:r>
              <w:rPr>
                <w:sz w:val="28"/>
                <w:szCs w:val="28"/>
              </w:rPr>
              <w:t xml:space="preserve">IIa </w:t>
            </w:r>
          </w:p>
        </w:tc>
        <w:tc>
          <w:tcPr>
            <w:tcW w:w="1742" w:type="dxa"/>
          </w:tcPr>
          <w:p w:rsidR="00975FC2" w:rsidRDefault="00975FC2" w:rsidP="00F6762D">
            <w:pPr>
              <w:rPr>
                <w:sz w:val="28"/>
                <w:szCs w:val="28"/>
              </w:rPr>
            </w:pPr>
            <w:r>
              <w:rPr>
                <w:sz w:val="28"/>
                <w:szCs w:val="28"/>
              </w:rPr>
              <w:t>IIIc</w:t>
            </w:r>
          </w:p>
        </w:tc>
      </w:tr>
      <w:tr w:rsidR="00975FC2" w:rsidTr="00F6762D">
        <w:trPr>
          <w:trHeight w:val="441"/>
        </w:trPr>
        <w:tc>
          <w:tcPr>
            <w:tcW w:w="2381" w:type="dxa"/>
          </w:tcPr>
          <w:p w:rsidR="00975FC2" w:rsidRDefault="00975FC2" w:rsidP="00F6762D">
            <w:pPr>
              <w:pStyle w:val="NoSpacing"/>
              <w:rPr>
                <w:b/>
              </w:rPr>
            </w:pPr>
            <w:r>
              <w:rPr>
                <w:b/>
              </w:rPr>
              <w:t>ER/PR/HER 2 neu</w:t>
            </w:r>
          </w:p>
        </w:tc>
        <w:tc>
          <w:tcPr>
            <w:tcW w:w="1519" w:type="dxa"/>
          </w:tcPr>
          <w:p w:rsidR="00975FC2" w:rsidRDefault="00975FC2" w:rsidP="00F6762D">
            <w:pPr>
              <w:rPr>
                <w:sz w:val="28"/>
                <w:szCs w:val="28"/>
              </w:rPr>
            </w:pPr>
            <w:r>
              <w:rPr>
                <w:sz w:val="28"/>
                <w:szCs w:val="28"/>
              </w:rPr>
              <w:t>-/-/-</w:t>
            </w:r>
          </w:p>
        </w:tc>
        <w:tc>
          <w:tcPr>
            <w:tcW w:w="1742" w:type="dxa"/>
          </w:tcPr>
          <w:p w:rsidR="00975FC2" w:rsidRDefault="00975FC2" w:rsidP="00F6762D">
            <w:pPr>
              <w:rPr>
                <w:sz w:val="28"/>
                <w:szCs w:val="28"/>
              </w:rPr>
            </w:pPr>
            <w:r>
              <w:rPr>
                <w:sz w:val="28"/>
                <w:szCs w:val="28"/>
              </w:rPr>
              <w:t>+/+/-</w:t>
            </w:r>
          </w:p>
        </w:tc>
      </w:tr>
    </w:tbl>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Default="00975FC2" w:rsidP="00975FC2">
      <w:pPr>
        <w:rPr>
          <w:sz w:val="28"/>
          <w:szCs w:val="28"/>
        </w:rPr>
      </w:pPr>
    </w:p>
    <w:p w:rsidR="00975FC2" w:rsidRPr="004E6FF7" w:rsidRDefault="00975FC2" w:rsidP="00975FC2">
      <w:pPr>
        <w:rPr>
          <w:sz w:val="28"/>
          <w:szCs w:val="28"/>
        </w:rPr>
      </w:pPr>
    </w:p>
    <w:p w:rsidR="00A20ABD" w:rsidRPr="00B00480" w:rsidRDefault="00A20ABD" w:rsidP="0061773C">
      <w:pPr>
        <w:rPr>
          <w:rFonts w:ascii="Times New Roman" w:hAnsi="Times New Roman"/>
          <w:sz w:val="28"/>
          <w:szCs w:val="28"/>
        </w:rPr>
      </w:pPr>
    </w:p>
    <w:sectPr w:rsidR="00A20ABD" w:rsidRPr="00B00480" w:rsidSect="00995E54">
      <w:footerReference w:type="default" r:id="rId12"/>
      <w:pgSz w:w="11907" w:h="16839" w:code="9"/>
      <w:pgMar w:top="1170" w:right="1440" w:bottom="108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cific" w:date="2016-12-26T23:56:00Z" w:initials="P">
    <w:p w:rsidR="00912FF7" w:rsidRDefault="00912FF7" w:rsidP="00912FF7">
      <w:pPr>
        <w:pStyle w:val="CommentText"/>
      </w:pPr>
      <w:r>
        <w:rPr>
          <w:rStyle w:val="CommentReference"/>
        </w:rPr>
        <w:annotationRef/>
      </w:r>
      <w:r>
        <w:t>Title of Manuscript</w:t>
      </w:r>
    </w:p>
  </w:comment>
  <w:comment w:id="1" w:author="Pacific" w:date="2016-12-26T23:57:00Z" w:initials="P">
    <w:p w:rsidR="00912FF7" w:rsidRDefault="00912FF7" w:rsidP="00912FF7">
      <w:pPr>
        <w:pStyle w:val="CommentText"/>
        <w:rPr>
          <w:rFonts w:ascii="Times New Roman" w:eastAsia="Times New Roman" w:hAnsi="Times New Roman"/>
          <w:i/>
          <w:color w:val="FF0000"/>
          <w:sz w:val="18"/>
          <w:szCs w:val="18"/>
        </w:rPr>
      </w:pPr>
      <w:r>
        <w:rPr>
          <w:rStyle w:val="CommentReference"/>
        </w:rPr>
        <w:annotationRef/>
      </w:r>
    </w:p>
    <w:p w:rsidR="00912FF7" w:rsidRPr="00912FF7" w:rsidRDefault="00912FF7" w:rsidP="00912FF7">
      <w:pPr>
        <w:pStyle w:val="CommentText"/>
        <w:numPr>
          <w:ilvl w:val="0"/>
          <w:numId w:val="4"/>
        </w:numPr>
      </w:pPr>
      <w:r w:rsidRPr="00405DA6">
        <w:rPr>
          <w:rFonts w:ascii="Times New Roman" w:eastAsia="Times New Roman" w:hAnsi="Times New Roman"/>
        </w:rPr>
        <w:t>Abstracts must be no longer than 250 words.</w:t>
      </w:r>
    </w:p>
    <w:p w:rsidR="00912FF7" w:rsidRPr="00405DA6" w:rsidRDefault="00912FF7" w:rsidP="00912FF7">
      <w:pPr>
        <w:pStyle w:val="CommentText"/>
        <w:numPr>
          <w:ilvl w:val="0"/>
          <w:numId w:val="4"/>
        </w:numPr>
      </w:pPr>
      <w:r w:rsidRPr="00912FF7">
        <w:t>Abstract for Original articles should be structured in four sections: background, methods, result and conclusion.</w:t>
      </w:r>
    </w:p>
    <w:p w:rsidR="00912FF7" w:rsidRDefault="00912FF7" w:rsidP="00912FF7">
      <w:pPr>
        <w:pStyle w:val="CommentText"/>
        <w:numPr>
          <w:ilvl w:val="0"/>
          <w:numId w:val="4"/>
        </w:numPr>
      </w:pPr>
      <w:r w:rsidRPr="00405DA6">
        <w:t xml:space="preserve"> </w:t>
      </w:r>
      <w:r w:rsidRPr="00405DA6">
        <w:rPr>
          <w:rFonts w:ascii="Times New Roman" w:eastAsia="Times New Roman" w:hAnsi="Times New Roman"/>
          <w:bdr w:val="none" w:sz="0" w:space="0" w:color="auto" w:frame="1"/>
        </w:rPr>
        <w:t>Do not cite references in the abstract.</w:t>
      </w:r>
    </w:p>
  </w:comment>
  <w:comment w:id="2" w:author="Pacific" w:date="2017-01-01T09:54:00Z" w:initials="P">
    <w:p w:rsidR="00E664A8" w:rsidRDefault="00E664A8">
      <w:pPr>
        <w:pStyle w:val="CommentText"/>
      </w:pPr>
      <w:r>
        <w:rPr>
          <w:rStyle w:val="CommentReference"/>
        </w:rPr>
        <w:annotationRef/>
      </w:r>
      <w:r w:rsidR="00072871">
        <w:rPr>
          <w:b/>
        </w:rPr>
        <w:t>Up to 25</w:t>
      </w:r>
      <w:r w:rsidRPr="00E664A8">
        <w:rPr>
          <w:b/>
        </w:rPr>
        <w:t>00</w:t>
      </w:r>
      <w:r w:rsidRPr="00E664A8">
        <w:t xml:space="preserve"> words excluding references (up to 30) and abstract.</w:t>
      </w:r>
    </w:p>
  </w:comment>
  <w:comment w:id="3" w:author="Pacific" w:date="2016-12-26T23:58:00Z" w:initials="P">
    <w:p w:rsidR="00912FF7" w:rsidRDefault="00912FF7" w:rsidP="00912FF7">
      <w:pPr>
        <w:pStyle w:val="CommentText"/>
      </w:pPr>
      <w:r>
        <w:rPr>
          <w:rStyle w:val="CommentReference"/>
        </w:rPr>
        <w:annotationRef/>
      </w:r>
      <w:r w:rsidRPr="005227D8">
        <w:t>State the objectives of the work and provide an adequate background, avoiding a detailed literature survey or a summary of the results</w:t>
      </w:r>
      <w:r>
        <w:t>.</w:t>
      </w:r>
    </w:p>
  </w:comment>
  <w:comment w:id="4" w:author="Pacific" w:date="2017-01-01T08:38:00Z" w:initials="P">
    <w:p w:rsidR="00912FF7" w:rsidRDefault="00912FF7">
      <w:pPr>
        <w:pStyle w:val="CommentText"/>
      </w:pPr>
      <w:r>
        <w:rPr>
          <w:rStyle w:val="CommentReference"/>
        </w:rPr>
        <w:annotationRef/>
      </w:r>
      <w:r w:rsidR="0027311F" w:rsidRPr="0027311F">
        <w:t>New methods and protocols should be described in detail while well-established methods can be briefly described and appropriately cited.</w:t>
      </w:r>
    </w:p>
    <w:p w:rsidR="000D319D" w:rsidRDefault="000D319D">
      <w:pPr>
        <w:pStyle w:val="CommentText"/>
      </w:pPr>
    </w:p>
  </w:comment>
  <w:comment w:id="5" w:author="Pacific" w:date="2017-01-01T08:40:00Z" w:initials="P">
    <w:p w:rsidR="000D319D" w:rsidRDefault="000D319D">
      <w:pPr>
        <w:pStyle w:val="CommentText"/>
      </w:pPr>
      <w:r>
        <w:rPr>
          <w:rStyle w:val="CommentReference"/>
        </w:rPr>
        <w:annotationRef/>
      </w:r>
      <w:r w:rsidRPr="000D319D">
        <w:t>Results should be presented in a logical sequence with reference to tables, figures, and supplemental material as appropriate.</w:t>
      </w:r>
    </w:p>
  </w:comment>
  <w:comment w:id="6" w:author="Pacific" w:date="2016-12-27T00:08:00Z" w:initials="P">
    <w:p w:rsidR="0061773C" w:rsidRDefault="0061773C">
      <w:pPr>
        <w:pStyle w:val="CommentText"/>
      </w:pPr>
      <w:r>
        <w:rPr>
          <w:rStyle w:val="CommentReference"/>
        </w:rPr>
        <w:annotationRef/>
      </w:r>
      <w:r w:rsidRPr="0061773C">
        <w:t>Authors should discuss the results and how they can be interpreted in perspective of previous studies and of the working hypotheses.</w:t>
      </w:r>
    </w:p>
  </w:comment>
  <w:comment w:id="7" w:author="Pacific" w:date="2016-12-27T00:09:00Z" w:initials="P">
    <w:p w:rsidR="0061773C" w:rsidRPr="000F3435" w:rsidRDefault="0061773C" w:rsidP="0061773C">
      <w:pPr>
        <w:pStyle w:val="CommentText"/>
      </w:pPr>
      <w:r>
        <w:rPr>
          <w:rStyle w:val="CommentReference"/>
        </w:rPr>
        <w:annotationRef/>
      </w:r>
      <w:r w:rsidRPr="000F3435">
        <w:rPr>
          <w:rFonts w:ascii="Times New Roman" w:eastAsia="Times New Roman" w:hAnsi="Times New Roman"/>
          <w:i/>
          <w:sz w:val="18"/>
          <w:szCs w:val="18"/>
          <w:bdr w:val="none" w:sz="0" w:space="0" w:color="auto" w:frame="1"/>
        </w:rPr>
        <w:t>It should include persons who provided technical help, writing assistance and departmental head that only provided general support. Financial and material support and conflict of interests must be written in this section.</w:t>
      </w:r>
    </w:p>
  </w:comment>
  <w:comment w:id="8" w:author="Pacific" w:date="2016-12-27T00:11:00Z" w:initials="P">
    <w:p w:rsidR="0061773C" w:rsidRDefault="0061773C" w:rsidP="0061773C">
      <w:pPr>
        <w:pStyle w:val="CommentText"/>
      </w:pPr>
      <w:r>
        <w:rPr>
          <w:rStyle w:val="CommentReference"/>
        </w:rPr>
        <w:annotationRef/>
      </w:r>
    </w:p>
    <w:p w:rsidR="0061773C" w:rsidRDefault="0061773C" w:rsidP="0061773C">
      <w:pPr>
        <w:pStyle w:val="CommentText"/>
        <w:numPr>
          <w:ilvl w:val="0"/>
          <w:numId w:val="5"/>
        </w:numPr>
      </w:pPr>
      <w:r>
        <w:t xml:space="preserve"> </w:t>
      </w:r>
      <w:r w:rsidRPr="000A5EBC">
        <w:t>Please avoid excessive referencing.</w:t>
      </w:r>
      <w:r>
        <w:t xml:space="preserve"> (reference number should be </w:t>
      </w:r>
      <w:r w:rsidRPr="00927220">
        <w:rPr>
          <w:b/>
        </w:rPr>
        <w:t>less than 30</w:t>
      </w:r>
      <w:r>
        <w:t>)</w:t>
      </w:r>
    </w:p>
    <w:p w:rsidR="0061773C" w:rsidRPr="000A5EBC" w:rsidRDefault="0061773C" w:rsidP="0061773C">
      <w:pPr>
        <w:pStyle w:val="CommentText"/>
        <w:numPr>
          <w:ilvl w:val="0"/>
          <w:numId w:val="5"/>
        </w:numPr>
      </w:pPr>
      <w:r w:rsidRPr="000F3435">
        <w:rPr>
          <w:rFonts w:ascii="Times New Roman" w:eastAsia="Times New Roman" w:hAnsi="Times New Roman"/>
          <w:sz w:val="18"/>
          <w:szCs w:val="18"/>
          <w:bdr w:val="none" w:sz="0" w:space="0" w:color="auto" w:frame="1"/>
        </w:rPr>
        <w:t>References should be arranged according to</w:t>
      </w:r>
      <w:r>
        <w:rPr>
          <w:rFonts w:ascii="Times New Roman" w:eastAsia="Times New Roman" w:hAnsi="Times New Roman"/>
          <w:sz w:val="18"/>
          <w:szCs w:val="18"/>
          <w:bdr w:val="none" w:sz="0" w:space="0" w:color="auto" w:frame="1"/>
        </w:rPr>
        <w:t xml:space="preserve"> author’s guidelines.</w:t>
      </w:r>
    </w:p>
    <w:p w:rsidR="0061773C" w:rsidRPr="000A5EBC" w:rsidRDefault="0061773C" w:rsidP="0061773C">
      <w:pPr>
        <w:pStyle w:val="CommentText"/>
        <w:numPr>
          <w:ilvl w:val="0"/>
          <w:numId w:val="5"/>
        </w:numPr>
      </w:pPr>
      <w:r>
        <w:t xml:space="preserve"> </w:t>
      </w:r>
      <w:r w:rsidRPr="000F3435">
        <w:rPr>
          <w:rFonts w:ascii="Times New Roman" w:eastAsia="Times New Roman" w:hAnsi="Times New Roman"/>
          <w:sz w:val="18"/>
          <w:szCs w:val="18"/>
          <w:bdr w:val="none" w:sz="0" w:space="0" w:color="auto" w:frame="1"/>
        </w:rPr>
        <w:t>Each reference should be numbered and listed according to their order in the text (do not alphabetize).</w:t>
      </w:r>
    </w:p>
    <w:p w:rsidR="0061773C" w:rsidRDefault="0061773C" w:rsidP="0061773C">
      <w:pPr>
        <w:pStyle w:val="CommentText"/>
        <w:numPr>
          <w:ilvl w:val="0"/>
          <w:numId w:val="5"/>
        </w:numPr>
      </w:pPr>
      <w:r w:rsidRPr="000A5EBC">
        <w:t>Authors should be listed surname first, followed by initials of given names.</w:t>
      </w:r>
    </w:p>
  </w:comment>
  <w:comment w:id="9" w:author="Pacific" w:date="2017-01-01T09:16:00Z" w:initials="P">
    <w:p w:rsidR="0061773C" w:rsidRDefault="0061773C" w:rsidP="0061773C">
      <w:pPr>
        <w:pStyle w:val="CommentText"/>
      </w:pPr>
      <w:r>
        <w:rPr>
          <w:rStyle w:val="CommentReference"/>
        </w:rPr>
        <w:annotationRef/>
      </w:r>
    </w:p>
    <w:p w:rsidR="0061773C" w:rsidRDefault="0061773C" w:rsidP="0061773C">
      <w:pPr>
        <w:pStyle w:val="CommentText"/>
        <w:numPr>
          <w:ilvl w:val="0"/>
          <w:numId w:val="6"/>
        </w:numPr>
      </w:pPr>
      <w:r w:rsidRPr="000000D1">
        <w:t>only in JPEG format</w:t>
      </w:r>
    </w:p>
    <w:p w:rsidR="0061773C" w:rsidRDefault="0061773C" w:rsidP="0061773C">
      <w:pPr>
        <w:pStyle w:val="CommentText"/>
        <w:numPr>
          <w:ilvl w:val="0"/>
          <w:numId w:val="6"/>
        </w:numPr>
      </w:pPr>
      <w:r>
        <w:t xml:space="preserve"> Number of images</w:t>
      </w:r>
      <w:r w:rsidR="00636E97">
        <w:t xml:space="preserve"> must be</w:t>
      </w:r>
      <w:r>
        <w:t xml:space="preserve"> less than </w:t>
      </w:r>
      <w:r w:rsidR="00927220">
        <w:t>6</w:t>
      </w:r>
      <w:r>
        <w:t>.</w:t>
      </w:r>
      <w:r w:rsidR="00636E97">
        <w:t xml:space="preserve"> (</w:t>
      </w:r>
      <w:r w:rsidR="00636E97" w:rsidRPr="00636E97">
        <w:t>total combined number of figures and tables must be</w:t>
      </w:r>
      <w:r w:rsidR="00636E97">
        <w:t xml:space="preserve"> less than 8)</w:t>
      </w:r>
    </w:p>
    <w:p w:rsidR="0061773C" w:rsidRDefault="0061773C" w:rsidP="0061773C">
      <w:pPr>
        <w:pStyle w:val="CommentText"/>
        <w:numPr>
          <w:ilvl w:val="0"/>
          <w:numId w:val="6"/>
        </w:numPr>
      </w:pPr>
      <w:r>
        <w:t xml:space="preserve"> Images should be clear and black corner free, esp microscopic images</w:t>
      </w:r>
    </w:p>
    <w:p w:rsidR="0061773C" w:rsidRDefault="0061773C" w:rsidP="0061773C">
      <w:pPr>
        <w:pStyle w:val="CommentText"/>
        <w:numPr>
          <w:ilvl w:val="0"/>
          <w:numId w:val="6"/>
        </w:numPr>
      </w:pPr>
      <w:r>
        <w:t xml:space="preserve"> </w:t>
      </w:r>
      <w:r w:rsidRPr="000000D1">
        <w:t>Writing any text on the figures should be avoided as much as possible.</w:t>
      </w:r>
    </w:p>
  </w:comment>
  <w:comment w:id="10" w:author="Pacific" w:date="2016-12-27T00:09:00Z" w:initials="P">
    <w:p w:rsidR="0061773C" w:rsidRDefault="0061773C" w:rsidP="0061773C">
      <w:pPr>
        <w:pStyle w:val="CommentText"/>
      </w:pPr>
      <w:r>
        <w:rPr>
          <w:rStyle w:val="CommentReference"/>
        </w:rPr>
        <w:annotationRef/>
      </w:r>
    </w:p>
    <w:p w:rsidR="0061773C" w:rsidRDefault="0061773C" w:rsidP="0061773C">
      <w:pPr>
        <w:pStyle w:val="CommentText"/>
        <w:numPr>
          <w:ilvl w:val="0"/>
          <w:numId w:val="7"/>
        </w:numPr>
      </w:pPr>
      <w:r w:rsidRPr="00330094">
        <w:t xml:space="preserve">A short detailed legend (maximum 40 words, excluding the credit line) should be provided for each ﬁgure. </w:t>
      </w:r>
    </w:p>
    <w:p w:rsidR="0061773C" w:rsidRDefault="0061773C" w:rsidP="0061773C">
      <w:pPr>
        <w:pStyle w:val="CommentText"/>
        <w:numPr>
          <w:ilvl w:val="0"/>
          <w:numId w:val="7"/>
        </w:numPr>
      </w:pPr>
      <w:r w:rsidRPr="00330094">
        <w:t>Stains and magniﬁcations should be speciﬁed for all photomicrographs.</w:t>
      </w:r>
    </w:p>
  </w:comment>
  <w:comment w:id="11" w:author="Pacific" w:date="2017-01-01T09:17:00Z" w:initials="P">
    <w:p w:rsidR="0061773C" w:rsidRDefault="0061773C" w:rsidP="00636E97">
      <w:pPr>
        <w:pStyle w:val="CommentText"/>
        <w:numPr>
          <w:ilvl w:val="0"/>
          <w:numId w:val="9"/>
        </w:numPr>
      </w:pPr>
      <w:r>
        <w:rPr>
          <w:rStyle w:val="CommentReference"/>
        </w:rPr>
        <w:annotationRef/>
      </w:r>
      <w:r w:rsidRPr="004F2805">
        <w:t>Tables should be kept to a necessary minimum, and their information should not duplicated in the text.</w:t>
      </w:r>
    </w:p>
    <w:p w:rsidR="00636E97" w:rsidRDefault="00636E97" w:rsidP="00636E97">
      <w:pPr>
        <w:pStyle w:val="CommentText"/>
        <w:numPr>
          <w:ilvl w:val="0"/>
          <w:numId w:val="9"/>
        </w:numPr>
      </w:pPr>
      <w:r>
        <w:t>Number of Tables must be less than 4. (</w:t>
      </w:r>
      <w:r w:rsidRPr="00636E97">
        <w:t>Total combined number of figures and tables must be</w:t>
      </w:r>
      <w:r>
        <w:t xml:space="preserve"> less than 8)</w:t>
      </w:r>
    </w:p>
    <w:p w:rsidR="0061773C" w:rsidRDefault="0061773C" w:rsidP="00636E97">
      <w:pPr>
        <w:pStyle w:val="CommentText"/>
        <w:numPr>
          <w:ilvl w:val="0"/>
          <w:numId w:val="9"/>
        </w:numPr>
      </w:pPr>
      <w:r w:rsidRPr="00516EB0">
        <w:t>Please submit tables as editable text and not as images.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6B2" w:rsidRDefault="009626B2" w:rsidP="00A07623">
      <w:pPr>
        <w:spacing w:after="0" w:line="240" w:lineRule="auto"/>
      </w:pPr>
      <w:r>
        <w:separator/>
      </w:r>
    </w:p>
  </w:endnote>
  <w:endnote w:type="continuationSeparator" w:id="1">
    <w:p w:rsidR="009626B2" w:rsidRDefault="009626B2" w:rsidP="00A07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23" w:rsidRDefault="001B6835">
    <w:pPr>
      <w:pStyle w:val="Footer"/>
      <w:jc w:val="center"/>
    </w:pPr>
    <w:r>
      <w:fldChar w:fldCharType="begin"/>
    </w:r>
    <w:r w:rsidR="00A07623">
      <w:instrText xml:space="preserve"> PAGE   \* MERGEFORMAT </w:instrText>
    </w:r>
    <w:r>
      <w:fldChar w:fldCharType="separate"/>
    </w:r>
    <w:r w:rsidR="00E002DA">
      <w:rPr>
        <w:noProof/>
      </w:rPr>
      <w:t>6</w:t>
    </w:r>
    <w:r>
      <w:fldChar w:fldCharType="end"/>
    </w:r>
  </w:p>
  <w:p w:rsidR="00A07623" w:rsidRDefault="00A07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6B2" w:rsidRDefault="009626B2" w:rsidP="00A07623">
      <w:pPr>
        <w:spacing w:after="0" w:line="240" w:lineRule="auto"/>
      </w:pPr>
      <w:r>
        <w:separator/>
      </w:r>
    </w:p>
  </w:footnote>
  <w:footnote w:type="continuationSeparator" w:id="1">
    <w:p w:rsidR="009626B2" w:rsidRDefault="009626B2" w:rsidP="00A07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CE0"/>
    <w:multiLevelType w:val="hybridMultilevel"/>
    <w:tmpl w:val="DAB28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77257E"/>
    <w:multiLevelType w:val="hybridMultilevel"/>
    <w:tmpl w:val="9556B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97B91"/>
    <w:multiLevelType w:val="hybridMultilevel"/>
    <w:tmpl w:val="744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F5FCD"/>
    <w:multiLevelType w:val="hybridMultilevel"/>
    <w:tmpl w:val="30B01EF0"/>
    <w:lvl w:ilvl="0" w:tplc="1CFEADA2">
      <w:start w:val="1"/>
      <w:numFmt w:val="bullet"/>
      <w:lvlText w:val=""/>
      <w:lvlJc w:val="left"/>
      <w:pPr>
        <w:ind w:left="2070" w:hanging="360"/>
      </w:pPr>
      <w:rPr>
        <w:rFonts w:ascii="Symbol" w:hAnsi="Symbol" w:hint="default"/>
        <w:color w:val="FF000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4A4913A5"/>
    <w:multiLevelType w:val="hybridMultilevel"/>
    <w:tmpl w:val="7A52F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831A8"/>
    <w:multiLevelType w:val="hybridMultilevel"/>
    <w:tmpl w:val="C79E9432"/>
    <w:lvl w:ilvl="0" w:tplc="8A1E1214">
      <w:start w:val="1"/>
      <w:numFmt w:val="decimal"/>
      <w:lvlText w:val="%1."/>
      <w:lvlJc w:val="left"/>
      <w:pPr>
        <w:ind w:left="720" w:hanging="360"/>
      </w:pPr>
      <w:rPr>
        <w:rFonts w:ascii="Times New Roman" w:eastAsia="Times New Roman" w:hAnsi="Times New Roman" w:hint="default"/>
        <w:i/>
        <w:color w:val="FF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6A0AE2"/>
    <w:multiLevelType w:val="hybridMultilevel"/>
    <w:tmpl w:val="7B26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0796A"/>
    <w:multiLevelType w:val="hybridMultilevel"/>
    <w:tmpl w:val="7B26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B04F90"/>
    <w:multiLevelType w:val="hybridMultilevel"/>
    <w:tmpl w:val="08F04CB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7"/>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CC489E"/>
    <w:rsid w:val="00001304"/>
    <w:rsid w:val="00072871"/>
    <w:rsid w:val="00091DFD"/>
    <w:rsid w:val="0009232F"/>
    <w:rsid w:val="000C455C"/>
    <w:rsid w:val="000D24EF"/>
    <w:rsid w:val="000D319D"/>
    <w:rsid w:val="0010155F"/>
    <w:rsid w:val="00134094"/>
    <w:rsid w:val="001611F9"/>
    <w:rsid w:val="00173AC5"/>
    <w:rsid w:val="001B6835"/>
    <w:rsid w:val="001C40AB"/>
    <w:rsid w:val="001C5E24"/>
    <w:rsid w:val="001F3CF4"/>
    <w:rsid w:val="00216AED"/>
    <w:rsid w:val="00216D91"/>
    <w:rsid w:val="0027311F"/>
    <w:rsid w:val="002E00A5"/>
    <w:rsid w:val="002E0B67"/>
    <w:rsid w:val="002E0FCD"/>
    <w:rsid w:val="00301923"/>
    <w:rsid w:val="0031015A"/>
    <w:rsid w:val="00312BC9"/>
    <w:rsid w:val="00337393"/>
    <w:rsid w:val="0035409D"/>
    <w:rsid w:val="003547C5"/>
    <w:rsid w:val="003725D2"/>
    <w:rsid w:val="003E7DC9"/>
    <w:rsid w:val="00400A94"/>
    <w:rsid w:val="0040777C"/>
    <w:rsid w:val="004319DE"/>
    <w:rsid w:val="0044200D"/>
    <w:rsid w:val="00442248"/>
    <w:rsid w:val="0046195D"/>
    <w:rsid w:val="004A1F22"/>
    <w:rsid w:val="004D4D3C"/>
    <w:rsid w:val="00516184"/>
    <w:rsid w:val="00553F79"/>
    <w:rsid w:val="005640E7"/>
    <w:rsid w:val="00566D65"/>
    <w:rsid w:val="005675A2"/>
    <w:rsid w:val="005A2393"/>
    <w:rsid w:val="005A6B51"/>
    <w:rsid w:val="005C2958"/>
    <w:rsid w:val="005C4F42"/>
    <w:rsid w:val="005F4489"/>
    <w:rsid w:val="0061773C"/>
    <w:rsid w:val="00622CCE"/>
    <w:rsid w:val="00636E97"/>
    <w:rsid w:val="0065052E"/>
    <w:rsid w:val="00676030"/>
    <w:rsid w:val="006A4B98"/>
    <w:rsid w:val="006D12F8"/>
    <w:rsid w:val="00702ACF"/>
    <w:rsid w:val="007272B5"/>
    <w:rsid w:val="007736F8"/>
    <w:rsid w:val="007900D0"/>
    <w:rsid w:val="00792B40"/>
    <w:rsid w:val="00796878"/>
    <w:rsid w:val="007B11ED"/>
    <w:rsid w:val="007C4F46"/>
    <w:rsid w:val="007C7696"/>
    <w:rsid w:val="007E0D05"/>
    <w:rsid w:val="007F2B2E"/>
    <w:rsid w:val="008124C6"/>
    <w:rsid w:val="008157C7"/>
    <w:rsid w:val="00833F2E"/>
    <w:rsid w:val="008C553E"/>
    <w:rsid w:val="008D652C"/>
    <w:rsid w:val="008D7879"/>
    <w:rsid w:val="00912FF7"/>
    <w:rsid w:val="00927220"/>
    <w:rsid w:val="00936388"/>
    <w:rsid w:val="0094741C"/>
    <w:rsid w:val="00954161"/>
    <w:rsid w:val="009626B2"/>
    <w:rsid w:val="00975FC2"/>
    <w:rsid w:val="00995E54"/>
    <w:rsid w:val="009A45E7"/>
    <w:rsid w:val="009B052E"/>
    <w:rsid w:val="009B5DB9"/>
    <w:rsid w:val="009C1808"/>
    <w:rsid w:val="009C57EE"/>
    <w:rsid w:val="009D077A"/>
    <w:rsid w:val="009D26D3"/>
    <w:rsid w:val="009D3DCC"/>
    <w:rsid w:val="00A07623"/>
    <w:rsid w:val="00A15785"/>
    <w:rsid w:val="00A20ABD"/>
    <w:rsid w:val="00A46289"/>
    <w:rsid w:val="00A479D5"/>
    <w:rsid w:val="00A76CB3"/>
    <w:rsid w:val="00A91352"/>
    <w:rsid w:val="00AA4F51"/>
    <w:rsid w:val="00AA7738"/>
    <w:rsid w:val="00AF66AC"/>
    <w:rsid w:val="00B00480"/>
    <w:rsid w:val="00B236DE"/>
    <w:rsid w:val="00B2492D"/>
    <w:rsid w:val="00B31B54"/>
    <w:rsid w:val="00B3243A"/>
    <w:rsid w:val="00B4294A"/>
    <w:rsid w:val="00B8531A"/>
    <w:rsid w:val="00BC4958"/>
    <w:rsid w:val="00BC7361"/>
    <w:rsid w:val="00C36153"/>
    <w:rsid w:val="00CB29F8"/>
    <w:rsid w:val="00CC489E"/>
    <w:rsid w:val="00CE60D0"/>
    <w:rsid w:val="00D05641"/>
    <w:rsid w:val="00D245A2"/>
    <w:rsid w:val="00D50FE7"/>
    <w:rsid w:val="00D65E66"/>
    <w:rsid w:val="00D7408A"/>
    <w:rsid w:val="00D80DAD"/>
    <w:rsid w:val="00D9435C"/>
    <w:rsid w:val="00DD20CA"/>
    <w:rsid w:val="00DE0E75"/>
    <w:rsid w:val="00DF2680"/>
    <w:rsid w:val="00E002DA"/>
    <w:rsid w:val="00E04DDA"/>
    <w:rsid w:val="00E1439F"/>
    <w:rsid w:val="00E24504"/>
    <w:rsid w:val="00E368E7"/>
    <w:rsid w:val="00E664A8"/>
    <w:rsid w:val="00E704F5"/>
    <w:rsid w:val="00E74510"/>
    <w:rsid w:val="00E87337"/>
    <w:rsid w:val="00EB2E0C"/>
    <w:rsid w:val="00EE63C4"/>
    <w:rsid w:val="00F17DCD"/>
    <w:rsid w:val="00F517A3"/>
    <w:rsid w:val="00F52081"/>
    <w:rsid w:val="00F568E9"/>
    <w:rsid w:val="00F56D02"/>
    <w:rsid w:val="00F620ED"/>
    <w:rsid w:val="00F63BF8"/>
    <w:rsid w:val="00F71880"/>
    <w:rsid w:val="00F743CE"/>
    <w:rsid w:val="00F74BE9"/>
    <w:rsid w:val="00FE6A77"/>
    <w:rsid w:val="00FF57E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D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48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7623"/>
    <w:pPr>
      <w:tabs>
        <w:tab w:val="center" w:pos="4680"/>
        <w:tab w:val="right" w:pos="9360"/>
      </w:tabs>
    </w:pPr>
  </w:style>
  <w:style w:type="character" w:customStyle="1" w:styleId="HeaderChar">
    <w:name w:val="Header Char"/>
    <w:link w:val="Header"/>
    <w:uiPriority w:val="99"/>
    <w:semiHidden/>
    <w:rsid w:val="00A07623"/>
    <w:rPr>
      <w:sz w:val="22"/>
      <w:szCs w:val="22"/>
    </w:rPr>
  </w:style>
  <w:style w:type="paragraph" w:styleId="Footer">
    <w:name w:val="footer"/>
    <w:basedOn w:val="Normal"/>
    <w:link w:val="FooterChar"/>
    <w:uiPriority w:val="99"/>
    <w:unhideWhenUsed/>
    <w:rsid w:val="00A07623"/>
    <w:pPr>
      <w:tabs>
        <w:tab w:val="center" w:pos="4680"/>
        <w:tab w:val="right" w:pos="9360"/>
      </w:tabs>
    </w:pPr>
  </w:style>
  <w:style w:type="character" w:customStyle="1" w:styleId="FooterChar">
    <w:name w:val="Footer Char"/>
    <w:link w:val="Footer"/>
    <w:uiPriority w:val="99"/>
    <w:rsid w:val="00A07623"/>
    <w:rPr>
      <w:sz w:val="22"/>
      <w:szCs w:val="22"/>
    </w:rPr>
  </w:style>
  <w:style w:type="paragraph" w:styleId="BalloonText">
    <w:name w:val="Balloon Text"/>
    <w:basedOn w:val="Normal"/>
    <w:link w:val="BalloonTextChar"/>
    <w:uiPriority w:val="99"/>
    <w:semiHidden/>
    <w:unhideWhenUsed/>
    <w:rsid w:val="005A23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2393"/>
    <w:rPr>
      <w:rFonts w:ascii="Tahoma" w:hAnsi="Tahoma" w:cs="Tahoma"/>
      <w:sz w:val="16"/>
      <w:szCs w:val="16"/>
      <w:lang w:bidi="ar-SA"/>
    </w:rPr>
  </w:style>
  <w:style w:type="character" w:styleId="CommentReference">
    <w:name w:val="annotation reference"/>
    <w:basedOn w:val="DefaultParagraphFont"/>
    <w:uiPriority w:val="99"/>
    <w:semiHidden/>
    <w:unhideWhenUsed/>
    <w:rsid w:val="00912FF7"/>
    <w:rPr>
      <w:sz w:val="16"/>
      <w:szCs w:val="16"/>
    </w:rPr>
  </w:style>
  <w:style w:type="paragraph" w:styleId="CommentText">
    <w:name w:val="annotation text"/>
    <w:basedOn w:val="Normal"/>
    <w:link w:val="CommentTextChar"/>
    <w:uiPriority w:val="99"/>
    <w:semiHidden/>
    <w:unhideWhenUsed/>
    <w:rsid w:val="00912FF7"/>
    <w:rPr>
      <w:sz w:val="20"/>
      <w:szCs w:val="20"/>
    </w:rPr>
  </w:style>
  <w:style w:type="character" w:customStyle="1" w:styleId="CommentTextChar">
    <w:name w:val="Comment Text Char"/>
    <w:basedOn w:val="DefaultParagraphFont"/>
    <w:link w:val="CommentText"/>
    <w:uiPriority w:val="99"/>
    <w:semiHidden/>
    <w:rsid w:val="00912FF7"/>
  </w:style>
  <w:style w:type="paragraph" w:styleId="CommentSubject">
    <w:name w:val="annotation subject"/>
    <w:basedOn w:val="CommentText"/>
    <w:next w:val="CommentText"/>
    <w:link w:val="CommentSubjectChar"/>
    <w:uiPriority w:val="99"/>
    <w:semiHidden/>
    <w:unhideWhenUsed/>
    <w:rsid w:val="00912FF7"/>
    <w:rPr>
      <w:b/>
      <w:bCs/>
    </w:rPr>
  </w:style>
  <w:style w:type="character" w:customStyle="1" w:styleId="CommentSubjectChar">
    <w:name w:val="Comment Subject Char"/>
    <w:basedOn w:val="CommentTextChar"/>
    <w:link w:val="CommentSubject"/>
    <w:uiPriority w:val="99"/>
    <w:semiHidden/>
    <w:rsid w:val="00912FF7"/>
    <w:rPr>
      <w:b/>
      <w:bCs/>
    </w:rPr>
  </w:style>
  <w:style w:type="paragraph" w:styleId="NormalWeb">
    <w:name w:val="Normal (Web)"/>
    <w:basedOn w:val="Normal"/>
    <w:rsid w:val="00B00480"/>
    <w:pPr>
      <w:spacing w:before="100" w:beforeAutospacing="1" w:after="100" w:afterAutospacing="1" w:line="240" w:lineRule="auto"/>
      <w:ind w:firstLine="216"/>
    </w:pPr>
    <w:rPr>
      <w:rFonts w:ascii="Souvenir Lt BT" w:eastAsia="Times New Roman" w:hAnsi="Souvenir Lt BT"/>
      <w:sz w:val="24"/>
      <w:szCs w:val="24"/>
      <w:lang w:val="en-GB"/>
    </w:rPr>
  </w:style>
  <w:style w:type="paragraph" w:styleId="NoSpacing">
    <w:name w:val="No Spacing"/>
    <w:uiPriority w:val="1"/>
    <w:qFormat/>
    <w:rsid w:val="00B00480"/>
    <w:rPr>
      <w:rFonts w:asciiTheme="minorHAnsi" w:eastAsiaTheme="minorEastAsia" w:hAnsiTheme="minorHAnsi" w:cstheme="minorBidi"/>
      <w:sz w:val="22"/>
      <w:szCs w:val="22"/>
    </w:rPr>
  </w:style>
  <w:style w:type="paragraph" w:customStyle="1" w:styleId="Default">
    <w:name w:val="Default"/>
    <w:rsid w:val="00A46289"/>
    <w:pPr>
      <w:autoSpaceDE w:val="0"/>
      <w:autoSpaceDN w:val="0"/>
      <w:adjustRightInd w:val="0"/>
    </w:pPr>
    <w:rPr>
      <w:rFonts w:ascii="Tahoma" w:eastAsiaTheme="minorEastAsia" w:hAnsi="Tahoma" w:cs="Tahoma"/>
      <w:color w:val="000000"/>
      <w:sz w:val="24"/>
      <w:szCs w:val="24"/>
    </w:rPr>
  </w:style>
  <w:style w:type="character" w:customStyle="1" w:styleId="drf">
    <w:name w:val="drf"/>
    <w:basedOn w:val="DefaultParagraphFont"/>
    <w:rsid w:val="00A46289"/>
  </w:style>
  <w:style w:type="character" w:customStyle="1" w:styleId="emphi">
    <w:name w:val="emph_i"/>
    <w:basedOn w:val="DefaultParagraphFont"/>
    <w:rsid w:val="00A46289"/>
  </w:style>
  <w:style w:type="character" w:customStyle="1" w:styleId="apple-converted-space">
    <w:name w:val="apple-converted-space"/>
    <w:basedOn w:val="DefaultParagraphFont"/>
    <w:rsid w:val="00A462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B2FF-F179-4C47-B32E-0406EFCD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Netra</cp:lastModifiedBy>
  <cp:revision>49</cp:revision>
  <dcterms:created xsi:type="dcterms:W3CDTF">2017-08-02T05:40:00Z</dcterms:created>
  <dcterms:modified xsi:type="dcterms:W3CDTF">2017-08-03T04:49:00Z</dcterms:modified>
</cp:coreProperties>
</file>